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rFonts w:ascii="Calibri" w:hAnsi="Calibri"/>
          <w:sz w:val="40"/>
        </w:rPr>
        <w:t>Bayesian Meta-Analysis Report</w:t>
      </w:r>
    </w:p>
    <w:p>
      <w:pPr>
        <w:pStyle w:val="Heading2"/>
      </w:pPr>
      <w:r>
        <w:rPr>
          <w:rFonts w:ascii="Calibri" w:hAnsi="Calibri"/>
          <w:sz w:val="26"/>
        </w:rPr>
        <w:t>IQANOVA ATLAS · ASMD/Xenpozyme QSP v2.0</w:t>
      </w:r>
    </w:p>
    <w:p>
      <w:r>
        <w:rPr>
          <w:rFonts w:ascii="Calibri" w:hAnsi="Calibri"/>
          <w:b w:val="0"/>
          <w:i/>
          <w:sz w:val="22"/>
        </w:rPr>
        <w:t>Stage 9 of the IQANOVA AI-QSP Master Pipeline.</w:t>
      </w:r>
    </w:p>
    <w:p>
      <w:pPr>
        <w:pStyle w:val="Heading1"/>
      </w:pPr>
      <w:r>
        <w:rPr>
          <w:rFonts w:ascii="Calibri" w:hAnsi="Calibri"/>
          <w:sz w:val="32"/>
        </w:rPr>
        <w:t>1. Method</w:t>
      </w:r>
    </w:p>
    <w:p>
      <w:r>
        <w:rPr>
          <w:rFonts w:ascii="Calibri" w:hAnsi="Calibri"/>
          <w:b w:val="0"/>
          <w:i w:val="0"/>
          <w:sz w:val="22"/>
        </w:rPr>
        <w:t>We performed a hierarchical Bayesian random-effects meta-analysis pooling Week-52 and Week-104 endpoints from four clinical sources (ASCEND adult Phase II/III, ASCEND-OLE adult open-label extension, ASCEND-Peds paediatric Phase I/II, and the EMA Product Information 2024 update). Sampling was performed with PyMC v5 NUTS (4 chains × 1500 draws, 500 tune, target_accept = 0.92). Prior choices: μ ~ Normal(0, 30²) population mean; τ ~ HalfNormal(15) between-study heterogeneity; θ_ij ~ Normal(μ_j, τ_j²); y_ij ~ Normal(θ_ij, σ_ij²) where σ_ij is the reported standard error of effect for study i, endpoint j. Convergence was deemed acceptable when R̂ &lt; 1.01 and bulk ESS &gt; 400 for all parameters [R16, R15].</w:t>
      </w:r>
    </w:p>
    <w:p>
      <w:pPr>
        <w:pStyle w:val="Heading1"/>
      </w:pPr>
      <w:r>
        <w:rPr>
          <w:rFonts w:ascii="Calibri" w:hAnsi="Calibri"/>
          <w:sz w:val="32"/>
        </w:rPr>
        <w:t>2. Pooled posterior summary</w:t>
      </w:r>
    </w:p>
    <w:tbl>
      <w:tblPr>
        <w:tblStyle w:val="LightList-Accent1"/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</w:tcPr>
          <w:p>
            <w:r>
              <w:rPr>
                <w:b/>
              </w:rPr>
              <w:t>Endpoint</w:t>
            </w:r>
          </w:p>
        </w:tc>
        <w:tc>
          <w:tcPr>
            <w:tcW w:type="dxa" w:w="1234"/>
          </w:tcPr>
          <w:p>
            <w:r>
              <w:rPr>
                <w:b/>
              </w:rPr>
              <w:t>n studies</w:t>
            </w:r>
          </w:p>
        </w:tc>
        <w:tc>
          <w:tcPr>
            <w:tcW w:type="dxa" w:w="1234"/>
          </w:tcPr>
          <w:p>
            <w:r>
              <w:rPr>
                <w:b/>
              </w:rPr>
              <w:t>Pooled μ</w:t>
            </w:r>
          </w:p>
        </w:tc>
        <w:tc>
          <w:tcPr>
            <w:tcW w:type="dxa" w:w="1234"/>
          </w:tcPr>
          <w:p>
            <w:r>
              <w:rPr>
                <w:b/>
              </w:rPr>
              <w:t>94 % HDI</w:t>
            </w:r>
          </w:p>
        </w:tc>
        <w:tc>
          <w:tcPr>
            <w:tcW w:type="dxa" w:w="1234"/>
          </w:tcPr>
          <w:p>
            <w:r>
              <w:rPr>
                <w:b/>
              </w:rPr>
              <w:t>Heterogeneity τ</w:t>
            </w:r>
          </w:p>
        </w:tc>
        <w:tc>
          <w:tcPr>
            <w:tcW w:type="dxa" w:w="1234"/>
          </w:tcPr>
          <w:p>
            <w:r>
              <w:rPr>
                <w:b/>
              </w:rPr>
              <w:t>R̂_max</w:t>
            </w:r>
          </w:p>
        </w:tc>
        <w:tc>
          <w:tcPr>
            <w:tcW w:type="dxa" w:w="1234"/>
          </w:tcPr>
          <w:p>
            <w:r>
              <w:rPr>
                <w:b/>
              </w:rPr>
              <w:t>ESS_min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DLCO_pct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27.49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[16.92, 39.61]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7.97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1.0000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531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platelet_pct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23.72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[11.97, 35.50]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7.93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1.0100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454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LysoSM_pct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-74.37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[-94.03, -46.10]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12.67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1.0100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871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Ceramide_pct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-42.21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[-63.39, -19.33]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14.01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1.0100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533</w:t>
            </w:r>
          </w:p>
        </w:tc>
      </w:tr>
    </w:tbl>
    <w:p>
      <w:pPr>
        <w:pStyle w:val="Heading1"/>
      </w:pPr>
      <w:r>
        <w:rPr>
          <w:rFonts w:ascii="Calibri" w:hAnsi="Calibri"/>
          <w:sz w:val="32"/>
        </w:rPr>
        <w:t>3. Cross-population coherence</w:t>
      </w:r>
    </w:p>
    <w:p>
      <w:r>
        <w:rPr>
          <w:rFonts w:ascii="Calibri" w:hAnsi="Calibri"/>
          <w:b w:val="0"/>
          <w:i w:val="0"/>
          <w:sz w:val="22"/>
        </w:rPr>
        <w:t>The pooled posterior estimates from the meta-analysis lie inside the 94 % credibility interval of the v2.0 model's predictions for every analysed endpoint. Plasma LysoSM shows the deepest pooled response (μ = −74.4 %, HDI [−94.0, −46.1]); plasma ceramide is more heterogeneous (μ = −42.2 %, τ = 14.0); DLCO recovers steadily across the population (μ = +27.5 pp, HDI [16.9, 39.6]) consistent with the W104 OLE update [R31]; platelet recovery (μ = +23.7 %) is below the saturation cap of 30 %, confirming the platelet axis operates in the linear-proportional regime of the corrected observable formula.</w:t>
      </w:r>
    </w:p>
    <w:p>
      <w:pPr>
        <w:pStyle w:val="Heading1"/>
      </w:pPr>
      <w:r>
        <w:rPr>
          <w:rFonts w:ascii="Calibri" w:hAnsi="Calibri"/>
          <w:sz w:val="32"/>
        </w:rPr>
        <w:t>4. Diagnostic figures</w:t>
      </w:r>
    </w:p>
    <w:p>
      <w:r>
        <w:drawing>
          <wp:inline xmlns:a="http://schemas.openxmlformats.org/drawingml/2006/main" xmlns:pic="http://schemas.openxmlformats.org/drawingml/2006/picture">
            <wp:extent cx="5943600" cy="358319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orest_plots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8319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rFonts w:ascii="Calibri" w:hAnsi="Calibri"/>
          <w:b w:val="0"/>
          <w:i/>
          <w:sz w:val="18"/>
        </w:rPr>
        <w:t>Figure 1. Forest plots, all endpoints (study-level θᵢ in blue, pooled μ in red diamond, 94 % HDI bars).</w:t>
      </w:r>
    </w:p>
    <w:p>
      <w:r>
        <w:br w:type="page"/>
      </w:r>
    </w:p>
    <w:p>
      <w:r>
        <w:drawing>
          <wp:inline xmlns:a="http://schemas.openxmlformats.org/drawingml/2006/main" xmlns:pic="http://schemas.openxmlformats.org/drawingml/2006/picture">
            <wp:extent cx="5943600" cy="3583988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osterior_distributions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8398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rFonts w:ascii="Calibri" w:hAnsi="Calibri"/>
          <w:b w:val="0"/>
          <w:i/>
          <w:sz w:val="18"/>
        </w:rPr>
        <w:t>Figure 2. Pooled posterior distributions with 94 % HDI marked.</w:t>
      </w:r>
    </w:p>
    <w:p>
      <w:pPr>
        <w:pStyle w:val="Heading1"/>
      </w:pPr>
      <w:r>
        <w:rPr>
          <w:rFonts w:ascii="Calibri" w:hAnsi="Calibri"/>
          <w:sz w:val="32"/>
        </w:rPr>
        <w:t>5. Files</w:t>
      </w:r>
    </w:p>
    <w:p>
      <w:r>
        <w:rPr>
          <w:rFonts w:ascii="Calibri" w:hAnsi="Calibri"/>
          <w:b w:val="0"/>
          <w:i w:val="0"/>
          <w:sz w:val="22"/>
        </w:rPr>
        <w:t>meta_results.json (full posterior summary), meta_diagnostics.csv (per-endpoint R̂, ESS, QC pass/fail), posterior_&lt;endpoint&gt;.csv (per-study θᵢ posteriors), forest_plots.png, posterior_distributions.png. All files are in stage09_bayes/.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>Document D3 — Bayesian Meta-Analysis Report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IQANOVA ATLAS · ASMD/Xenpozyme QSP v2.0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Relationship Id="rId1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