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/>
          <w:sz w:val="40"/>
        </w:rPr>
        <w:t>Parameter Identifiability Report</w:t>
      </w:r>
    </w:p>
    <w:p>
      <w:pPr>
        <w:pStyle w:val="Heading2"/>
      </w:pPr>
      <w:r>
        <w:rPr>
          <w:rFonts w:ascii="Calibri" w:hAnsi="Calibri"/>
          <w:sz w:val="26"/>
        </w:rPr>
        <w:t>IQANOVA ATLAS · ASMD/Xenpozyme QSP v2.0</w:t>
      </w:r>
    </w:p>
    <w:p>
      <w:pPr>
        <w:pStyle w:val="Heading1"/>
      </w:pPr>
      <w:r>
        <w:rPr>
          <w:rFonts w:ascii="Calibri" w:hAnsi="Calibri"/>
          <w:sz w:val="32"/>
        </w:rPr>
        <w:t>1. Methods</w:t>
      </w:r>
    </w:p>
    <w:p>
      <w:r>
        <w:rPr>
          <w:rFonts w:ascii="Calibri" w:hAnsi="Calibri"/>
          <w:b w:val="0"/>
          <w:i w:val="0"/>
          <w:sz w:val="22"/>
        </w:rPr>
        <w:t>We assessed parameter identifiability by two complementary methods. First, the Fisher Information Matrix (FIM) was constructed via central finite differences (ε = 1 % of nominal parameter value) at the calibrated optimum, weighting residuals by reported study standard errors with a 10 % floor. The Cramér-Rao bound provides a lower bound on the relative standard error (RSE) of each parameter estimate [R19, R20]. Second, profile likelihood was computed for the five highest-impact adult parameters and three paediatric parameters using a 15-point grid spanning 0.30·p* to 1.80·p*; the 95 % confidence threshold is ΔNLL = χ²(0.95, 1) / 2 ≈ 1.921. Classification: well-identifiable (RSE &lt; 20 %), moderately identifiable (20-50 %), weakly identifiable (50-100 %), non-identifiable (RSE ≥ 100 % or singular FIM).</w:t>
      </w:r>
    </w:p>
    <w:p>
      <w:pPr>
        <w:pStyle w:val="Heading1"/>
      </w:pPr>
      <w:r>
        <w:rPr>
          <w:rFonts w:ascii="Calibri" w:hAnsi="Calibri"/>
          <w:sz w:val="32"/>
        </w:rPr>
        <w:t>2. Adult model: identifiability classes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Class</w:t>
            </w:r>
          </w:p>
        </w:tc>
        <w:tc>
          <w:tcPr>
            <w:tcW w:type="dxa" w:w="2880"/>
          </w:tcPr>
          <w:p>
            <w:r>
              <w:rPr>
                <w:b/>
              </w:rPr>
              <w:t>Count</w:t>
            </w:r>
          </w:p>
        </w:tc>
        <w:tc>
          <w:tcPr>
            <w:tcW w:type="dxa" w:w="2880"/>
          </w:tcPr>
          <w:p>
            <w:r>
              <w:rPr>
                <w:b/>
              </w:rPr>
              <w:t>Mean RSE %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Non-identifiable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Moderate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Well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Weak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Mean (all)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9852.4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Median (all)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268.0</w:t>
            </w:r>
          </w:p>
        </w:tc>
      </w:tr>
    </w:tbl>
    <w:p>
      <w:pPr>
        <w:pStyle w:val="Heading1"/>
      </w:pPr>
      <w:r>
        <w:rPr>
          <w:rFonts w:ascii="Calibri" w:hAnsi="Calibri"/>
          <w:sz w:val="32"/>
        </w:rPr>
        <w:t>3. Paediatric model: identifiability classes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Class</w:t>
            </w:r>
          </w:p>
        </w:tc>
        <w:tc>
          <w:tcPr>
            <w:tcW w:type="dxa" w:w="2880"/>
          </w:tcPr>
          <w:p>
            <w:r>
              <w:rPr>
                <w:b/>
              </w:rPr>
              <w:t>Count</w:t>
            </w:r>
          </w:p>
        </w:tc>
        <w:tc>
          <w:tcPr>
            <w:tcW w:type="dxa" w:w="2880"/>
          </w:tcPr>
          <w:p>
            <w:r>
              <w:rPr>
                <w:b/>
              </w:rPr>
              <w:t>Mean RSE %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Non-identifiable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Moderate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Weak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Well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Mean (all)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23429.5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Median (all)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–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65.6</w:t>
            </w:r>
          </w:p>
        </w:tc>
      </w:tr>
    </w:tbl>
    <w:p>
      <w:pPr>
        <w:pStyle w:val="Heading1"/>
      </w:pPr>
      <w:r>
        <w:rPr>
          <w:rFonts w:ascii="Calibri" w:hAnsi="Calibri"/>
          <w:sz w:val="32"/>
        </w:rPr>
        <w:t>4. High-correlation pairs (|corr| &gt; 0.8)</w:t>
      </w:r>
    </w:p>
    <w:p>
      <w:r>
        <w:rPr>
          <w:rFonts w:ascii="Calibri" w:hAnsi="Calibri"/>
          <w:b w:val="0"/>
          <w:i w:val="0"/>
          <w:sz w:val="22"/>
        </w:rPr>
        <w:t>Adult: 12 pairs. Paediatric: 13 pairs. These pairs indicate compensating parameter directions in the FIM. Most pairs involve the kinetic-rate parameters of the linear-proportional observable formulae (`DLCO_kinetic_rate`, `platelet_kinetic_rate`); these are scientifically inert after the Stage 5 reformulation and will be removed in v2.1.</w:t>
      </w:r>
    </w:p>
    <w:p>
      <w:pPr>
        <w:pStyle w:val="Heading1"/>
      </w:pPr>
      <w:r>
        <w:rPr>
          <w:rFonts w:ascii="Calibri" w:hAnsi="Calibri"/>
          <w:sz w:val="32"/>
        </w:rPr>
        <w:t>5. Diagnostic figures</w:t>
      </w:r>
    </w:p>
    <w:p>
      <w:r>
        <w:drawing>
          <wp:inline xmlns:a="http://schemas.openxmlformats.org/drawingml/2006/main" xmlns:pic="http://schemas.openxmlformats.org/drawingml/2006/picture">
            <wp:extent cx="5943600" cy="398703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SE_bars_adul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70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rFonts w:ascii="Calibri" w:hAnsi="Calibri"/>
          <w:b w:val="0"/>
          <w:i/>
          <w:sz w:val="18"/>
        </w:rPr>
        <w:t>Figure 1. Adult parameter RSE bars (colour-coded by class).</w:t>
      </w:r>
    </w:p>
    <w:p>
      <w:r>
        <w:br w:type="page"/>
      </w:r>
    </w:p>
    <w:p>
      <w:r>
        <w:drawing>
          <wp:inline xmlns:a="http://schemas.openxmlformats.org/drawingml/2006/main" xmlns:pic="http://schemas.openxmlformats.org/drawingml/2006/picture">
            <wp:extent cx="5943600" cy="398703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SE_bars_paediatric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70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rFonts w:ascii="Calibri" w:hAnsi="Calibri"/>
          <w:b w:val="0"/>
          <w:i/>
          <w:sz w:val="18"/>
        </w:rPr>
        <w:t>Figure 2. Paediatric parameter RSE bars.</w:t>
      </w:r>
    </w:p>
    <w:p>
      <w:r>
        <w:br w:type="page"/>
      </w:r>
    </w:p>
    <w:p>
      <w:r>
        <w:drawing>
          <wp:inline xmlns:a="http://schemas.openxmlformats.org/drawingml/2006/main" xmlns:pic="http://schemas.openxmlformats.org/drawingml/2006/picture">
            <wp:extent cx="5943600" cy="1421011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rofile_likelihood_adult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2101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rFonts w:ascii="Calibri" w:hAnsi="Calibri"/>
          <w:b w:val="0"/>
          <w:i/>
          <w:sz w:val="18"/>
        </w:rPr>
        <w:t>Figure 3. Profile likelihood, five dominant adult parameters.</w:t>
      </w:r>
    </w:p>
    <w:p>
      <w:pPr>
        <w:pStyle w:val="Heading1"/>
      </w:pPr>
      <w:r>
        <w:rPr>
          <w:rFonts w:ascii="Calibri" w:hAnsi="Calibri"/>
          <w:sz w:val="32"/>
        </w:rPr>
        <w:t>6. ASME V&amp;V40 G7 verdict</w:t>
      </w:r>
    </w:p>
    <w:p>
      <w:r>
        <w:rPr>
          <w:rFonts w:ascii="Calibri" w:hAnsi="Calibri"/>
          <w:b w:val="0"/>
          <w:i w:val="0"/>
          <w:sz w:val="22"/>
        </w:rPr>
        <w:t>The model is conditionally credible at the parameter-identification level for population-level inference. Every endpoint has at least one well- or moderately-identifiable kinetic driver and one well-identifiable saturation parameter. Sub-population (ADA-positive, paediatric) and individual-level inference would require the v2.1 reparameterisation and additional W4 / W12 anchor data.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Document D4 — Identifiability Report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IQANOVA ATLAS · ASMD/Xenpozyme QSP v2.0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