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rFonts w:ascii="Calibri" w:hAnsi="Calibri"/>
          <w:sz w:val="40"/>
        </w:rPr>
        <w:t>IQANOVA ATLAS</w:t>
      </w:r>
    </w:p>
    <w:p>
      <w:pPr>
        <w:pStyle w:val="Heading1"/>
      </w:pPr>
      <w:r>
        <w:rPr>
          <w:rFonts w:ascii="Calibri" w:hAnsi="Calibri"/>
          <w:sz w:val="32"/>
        </w:rPr>
        <w:t>ASMD / Xenpozyme QSP v2.0 — Model Equations Document</w:t>
      </w:r>
    </w:p>
    <w:p>
      <w:r>
        <w:rPr>
          <w:rFonts w:ascii="Calibri" w:hAnsi="Calibri"/>
          <w:b w:val="0"/>
          <w:i/>
          <w:sz w:val="22"/>
        </w:rPr>
        <w:t>Author: Prof. Igor Goryanin (IQANOVA Ltd, University of Edinburgh).</w:t>
      </w:r>
    </w:p>
    <w:p>
      <w:r>
        <w:rPr>
          <w:rFonts w:ascii="Calibri" w:hAnsi="Calibri"/>
          <w:b w:val="0"/>
          <w:i/>
          <w:sz w:val="22"/>
        </w:rPr>
        <w:t>Document type: Regulatory submission supporting document, Stage 12, Master Pipeline v2.0.</w:t>
      </w:r>
    </w:p>
    <w:p>
      <w:r>
        <w:rPr>
          <w:rFonts w:ascii="Calibri" w:hAnsi="Calibri"/>
          <w:b w:val="0"/>
          <w:i/>
          <w:sz w:val="22"/>
        </w:rPr>
        <w:t>Date: May 2026.</w:t>
      </w:r>
    </w:p>
    <w:p>
      <w:pPr>
        <w:pStyle w:val="Heading1"/>
      </w:pPr>
      <w:r>
        <w:rPr>
          <w:rFonts w:ascii="Calibri" w:hAnsi="Calibri"/>
          <w:sz w:val="32"/>
        </w:rPr>
        <w:t>1. Scope and Context-of-Use</w:t>
      </w:r>
    </w:p>
    <w:p>
      <w:r>
        <w:rPr>
          <w:rFonts w:ascii="Calibri" w:hAnsi="Calibri"/>
          <w:b w:val="0"/>
          <w:i w:val="0"/>
          <w:sz w:val="22"/>
        </w:rPr>
        <w:t>This document specifies the differential-algebraic system underlying the IQANOVA ATLAS ASMD/Xenpozyme QSP v2.0 model. The Context-of-Use is adult-to-paediatric dose-bridging for olipudase alfa (Xenpozyme), long-term efficacy projection beyond the 2-year ASCEND-OLE horizon, and identification of an ADA-positive sub-population. The model is encoded in SBML Level 3 Version 2 with kinetic laws expressed as rate rules and dose administrations expressed as events. All equations are reproduced below in the same compartmental and naming convention used in the SBML files (`ASMD_Xenpozyme_QSP_v2_0_adult.xml` and `ASMD_Xenpozyme_QSP_v2_0_paediatric.xml`).</w:t>
      </w:r>
    </w:p>
    <w:p>
      <w:pPr>
        <w:pStyle w:val="Heading1"/>
      </w:pPr>
      <w:r>
        <w:rPr>
          <w:rFonts w:ascii="Calibri" w:hAnsi="Calibri"/>
          <w:sz w:val="32"/>
        </w:rPr>
        <w:t>2. State variables (11)</w:t>
      </w:r>
    </w:p>
    <w:p>
      <w:r>
        <w:rPr>
          <w:rFonts w:ascii="Calibri" w:hAnsi="Calibri"/>
          <w:b w:val="0"/>
          <w:i w:val="0"/>
          <w:sz w:val="22"/>
        </w:rPr>
        <w:t>Olipudase concentrations: plasma (E_p), peripheral tissue (E_t), and lysosomal (E_L). Anti-drug antibody titre A. Lysosomal sphingomyelin S_L. Plasma biomarkers: lyso-sphingomyelin L and ceramide C. Tissue burdens: spleen B_s, liver B_l, lung B_g. Paediatric height-Z Z.</w:t>
      </w:r>
    </w:p>
    <w:p>
      <w:pPr>
        <w:pStyle w:val="Heading2"/>
      </w:pPr>
      <w:r>
        <w:rPr>
          <w:rFonts w:ascii="Calibri" w:hAnsi="Calibri"/>
          <w:sz w:val="26"/>
        </w:rPr>
        <w:t>3. Pharmacokinetic equations (Layer 1)</w:t>
      </w:r>
    </w:p>
    <w:p>
      <w:r>
        <w:rPr>
          <w:rFonts w:ascii="Calibri" w:hAnsi="Calibri"/>
          <w:b w:val="0"/>
          <w:i w:val="0"/>
          <w:sz w:val="22"/>
        </w:rPr>
        <w:t>dE_p/dt  =  − k_p2t · E_p − k_clr · E_p + dose_event(t)</w:t>
      </w:r>
    </w:p>
    <w:p>
      <w:r>
        <w:rPr>
          <w:rFonts w:ascii="Calibri" w:hAnsi="Calibri"/>
          <w:b w:val="0"/>
          <w:i w:val="0"/>
          <w:sz w:val="22"/>
        </w:rPr>
        <w:t>dE_t/dt  =  + k_p2t · E_p − k_t2l · E_t − k_t2p · E_t</w:t>
      </w:r>
    </w:p>
    <w:p>
      <w:r>
        <w:rPr>
          <w:rFonts w:ascii="Calibri" w:hAnsi="Calibri"/>
          <w:b w:val="0"/>
          <w:i w:val="0"/>
          <w:sz w:val="22"/>
        </w:rPr>
        <w:t>dE_L/dt  =  + k_t2l · E_t − k_lyse · E_L</w:t>
      </w:r>
    </w:p>
    <w:p>
      <w:r>
        <w:rPr>
          <w:rFonts w:ascii="Calibri" w:hAnsi="Calibri"/>
          <w:b w:val="0"/>
          <w:i/>
          <w:sz w:val="22"/>
        </w:rPr>
        <w:t>Dose events deliver bolus to E_p every 14 days for 2 years (27 events).</w:t>
      </w:r>
    </w:p>
    <w:p>
      <w:pPr>
        <w:pStyle w:val="Heading2"/>
      </w:pPr>
      <w:r>
        <w:rPr>
          <w:rFonts w:ascii="Calibri" w:hAnsi="Calibri"/>
          <w:sz w:val="26"/>
        </w:rPr>
        <w:t>4. Anti-drug antibody dynamics (Layer 2)</w:t>
      </w:r>
    </w:p>
    <w:p>
      <w:r>
        <w:rPr>
          <w:rFonts w:ascii="Calibri" w:hAnsi="Calibri"/>
          <w:b w:val="0"/>
          <w:i w:val="0"/>
          <w:sz w:val="22"/>
        </w:rPr>
        <w:t>dA/dt  =  k_ADA_gen · E_p − k_ADA_clr · A</w:t>
      </w:r>
    </w:p>
    <w:p>
      <w:r>
        <w:rPr>
          <w:rFonts w:ascii="Calibri" w:hAnsi="Calibri"/>
          <w:b w:val="0"/>
          <w:i w:val="0"/>
          <w:sz w:val="22"/>
        </w:rPr>
        <w:t>Effective ASM activity:  k_eff = k_cat · (1 − ε_neut · A / (1 + A))</w:t>
      </w:r>
    </w:p>
    <w:p>
      <w:r>
        <w:rPr>
          <w:rFonts w:ascii="Calibri" w:hAnsi="Calibri"/>
          <w:b w:val="0"/>
          <w:i/>
          <w:sz w:val="22"/>
        </w:rPr>
        <w:t>ε_neut = ADA neutralisation potency. v2.0 sets ε_neut = 0.20 at population mean; sub-population analysis assumes ε_neut up to 0.45.</w:t>
      </w:r>
    </w:p>
    <w:p>
      <w:pPr>
        <w:pStyle w:val="Heading2"/>
      </w:pPr>
      <w:r>
        <w:rPr>
          <w:rFonts w:ascii="Calibri" w:hAnsi="Calibri"/>
          <w:sz w:val="26"/>
        </w:rPr>
        <w:t>5. Substrate and lysosomal compartment (Layer 3)</w:t>
      </w:r>
    </w:p>
    <w:p>
      <w:r>
        <w:rPr>
          <w:rFonts w:ascii="Calibri" w:hAnsi="Calibri"/>
          <w:b w:val="0"/>
          <w:i w:val="0"/>
          <w:sz w:val="22"/>
        </w:rPr>
        <w:t>dS_L/dt  =  k_in − k_eff · E_L · S_L / (K_m + S_L)</w:t>
      </w:r>
    </w:p>
    <w:p>
      <w:pPr>
        <w:pStyle w:val="Heading2"/>
      </w:pPr>
      <w:r>
        <w:rPr>
          <w:rFonts w:ascii="Calibri" w:hAnsi="Calibri"/>
          <w:sz w:val="26"/>
        </w:rPr>
        <w:t>6. Plasma biomarker dynamics (Layer 4)</w:t>
      </w:r>
    </w:p>
    <w:p>
      <w:r>
        <w:rPr>
          <w:rFonts w:ascii="Calibri" w:hAnsi="Calibri"/>
          <w:b w:val="0"/>
          <w:i w:val="0"/>
          <w:sz w:val="22"/>
        </w:rPr>
        <w:t>dL/dt  =  k_LSM_gen · S_L − k_LSM_clr · L</w:t>
      </w:r>
    </w:p>
    <w:p>
      <w:r>
        <w:rPr>
          <w:rFonts w:ascii="Calibri" w:hAnsi="Calibri"/>
          <w:b w:val="0"/>
          <w:i w:val="0"/>
          <w:sz w:val="22"/>
        </w:rPr>
        <w:t>dC/dt  =  γ_cer · k_eff · E_L · S_L / (K_m + S_L) − k_cer_clr · C  +  α_burden · (B_s + B_l + B_g)</w:t>
      </w:r>
    </w:p>
    <w:p>
      <w:pPr>
        <w:pStyle w:val="Heading2"/>
      </w:pPr>
      <w:r>
        <w:rPr>
          <w:rFonts w:ascii="Calibri" w:hAnsi="Calibri"/>
          <w:sz w:val="26"/>
        </w:rPr>
        <w:t>7. Tissue burden dynamics (Layer 5)</w:t>
      </w:r>
    </w:p>
    <w:p>
      <w:r>
        <w:rPr>
          <w:rFonts w:ascii="Calibri" w:hAnsi="Calibri"/>
          <w:b w:val="0"/>
          <w:i w:val="0"/>
          <w:sz w:val="22"/>
        </w:rPr>
        <w:t>dB_s/dt  =  − k_s_res · max(0, B_s − (1 − f_s_max) · B_s,0) · ASM_scale_s · k_eff</w:t>
      </w:r>
    </w:p>
    <w:p>
      <w:r>
        <w:rPr>
          <w:rFonts w:ascii="Calibri" w:hAnsi="Calibri"/>
          <w:b w:val="0"/>
          <w:i w:val="0"/>
          <w:sz w:val="22"/>
        </w:rPr>
        <w:t>dB_l/dt  =  − k_l_res · max(0, B_l − (1 − f_l_max) · B_l,0) · ASM_scale_l · k_eff</w:t>
      </w:r>
    </w:p>
    <w:p>
      <w:r>
        <w:rPr>
          <w:rFonts w:ascii="Calibri" w:hAnsi="Calibri"/>
          <w:b w:val="0"/>
          <w:i w:val="0"/>
          <w:sz w:val="22"/>
        </w:rPr>
        <w:t>dB_g/dt  =  − k_g_res · max(0, B_g − (1 − f_g_max) · B_g,0) · ASM_scale_g · k_eff</w:t>
      </w:r>
    </w:p>
    <w:p>
      <w:r>
        <w:rPr>
          <w:rFonts w:ascii="Calibri" w:hAnsi="Calibri"/>
          <w:b w:val="0"/>
          <w:i/>
          <w:sz w:val="22"/>
        </w:rPr>
        <w:t>Saturation maxima f_*_max enforce that no organ can resolve below (1 − f_*_max)·baseline. These were calibrated in Stage 5 to ASCEND/ASCEND-OLE long-term plateau values.</w:t>
      </w:r>
    </w:p>
    <w:p>
      <w:pPr>
        <w:pStyle w:val="Heading2"/>
      </w:pPr>
      <w:r>
        <w:rPr>
          <w:rFonts w:ascii="Calibri" w:hAnsi="Calibri"/>
          <w:sz w:val="26"/>
        </w:rPr>
        <w:t>8. Clinical observable mapping (Layer 6)</w:t>
      </w:r>
    </w:p>
    <w:p>
      <w:r>
        <w:rPr>
          <w:rFonts w:ascii="Calibri" w:hAnsi="Calibri"/>
          <w:b w:val="0"/>
          <w:i w:val="0"/>
          <w:sz w:val="22"/>
        </w:rPr>
        <w:t>DLCO_pct(t)     = DLCO_max_pp · max(0, B_g,0 − B_g(t)) / (B_g,0 · f_g_max)</w:t>
      </w:r>
    </w:p>
    <w:p>
      <w:r>
        <w:rPr>
          <w:rFonts w:ascii="Calibri" w:hAnsi="Calibri"/>
          <w:b w:val="0"/>
          <w:i w:val="0"/>
          <w:sz w:val="22"/>
        </w:rPr>
        <w:t>Platelet_pct(t) = 100 · plt_max_frac · max(0, B_s,0 − B_s(t)) / (B_s,0 · f_s_max)</w:t>
      </w:r>
    </w:p>
    <w:p>
      <w:r>
        <w:rPr>
          <w:rFonts w:ascii="Calibri" w:hAnsi="Calibri"/>
          <w:b w:val="0"/>
          <w:i w:val="0"/>
          <w:sz w:val="22"/>
        </w:rPr>
        <w:t>Spleen_pct(t)   = −100 · (B_s,0 − B_s(t)) / B_s,0</w:t>
      </w:r>
    </w:p>
    <w:p>
      <w:r>
        <w:rPr>
          <w:rFonts w:ascii="Calibri" w:hAnsi="Calibri"/>
          <w:b w:val="0"/>
          <w:i w:val="0"/>
          <w:sz w:val="22"/>
        </w:rPr>
        <w:t>Liver_pct(t)    = −100 · (B_l,0 − B_l(t)) / B_l,0</w:t>
      </w:r>
    </w:p>
    <w:p>
      <w:r>
        <w:rPr>
          <w:rFonts w:ascii="Calibri" w:hAnsi="Calibri"/>
          <w:b w:val="0"/>
          <w:i w:val="0"/>
          <w:sz w:val="22"/>
        </w:rPr>
        <w:t>LysoSM_pct(t)   = −100 · (L_0 − L(t)) / L_0</w:t>
      </w:r>
    </w:p>
    <w:p>
      <w:r>
        <w:rPr>
          <w:rFonts w:ascii="Calibri" w:hAnsi="Calibri"/>
          <w:b w:val="0"/>
          <w:i w:val="0"/>
          <w:sz w:val="22"/>
        </w:rPr>
        <w:t>Ceramide_pct(t) = −100 · (C_0 − C(t)) / C_0</w:t>
      </w:r>
    </w:p>
    <w:p>
      <w:r>
        <w:rPr>
          <w:rFonts w:ascii="Calibri" w:hAnsi="Calibri"/>
          <w:b w:val="0"/>
          <w:i/>
          <w:sz w:val="22"/>
        </w:rPr>
        <w:t>These linear-proportional formulae replaced the exponential-saturating forms used in v1.3. The change was made in Stage 5 of the pipeline because the exponential form operated in the linear regime over the ASCEND/ASCEND-OLE observation window, which prevented the fitter from converging. The reformulation reduced calibration SSR from 259 to 10.75.</w:t>
      </w:r>
    </w:p>
    <w:p>
      <w:pPr>
        <w:pStyle w:val="Heading2"/>
      </w:pPr>
      <w:r>
        <w:rPr>
          <w:rFonts w:ascii="Calibri" w:hAnsi="Calibri"/>
          <w:sz w:val="26"/>
        </w:rPr>
        <w:t>9. Paediatric height-Z block</w:t>
      </w:r>
    </w:p>
    <w:p>
      <w:r>
        <w:rPr>
          <w:rFonts w:ascii="Calibri" w:hAnsi="Calibri"/>
          <w:b w:val="0"/>
          <w:i w:val="0"/>
          <w:sz w:val="22"/>
        </w:rPr>
        <w:t>dZ/dt  =  k_h_catch · (Z_asy − Z(t))</w:t>
      </w:r>
    </w:p>
    <w:p>
      <w:r>
        <w:rPr>
          <w:rFonts w:ascii="Calibri" w:hAnsi="Calibri"/>
          <w:b w:val="0"/>
          <w:i/>
          <w:sz w:val="22"/>
        </w:rPr>
        <w:t>Adult: k_h_catch = 0; paediatric: k_h_catch ≈ 3.5×10⁻³ day⁻¹, Z_asy = +1.3.</w:t>
      </w:r>
    </w:p>
    <w:p>
      <w:pPr>
        <w:pStyle w:val="Heading1"/>
      </w:pPr>
      <w:r>
        <w:rPr>
          <w:rFonts w:ascii="Calibri" w:hAnsi="Calibri"/>
          <w:sz w:val="32"/>
        </w:rPr>
        <w:t>10. Population-specific parameter overrides</w:t>
      </w:r>
    </w:p>
    <w:p>
      <w:r>
        <w:rPr>
          <w:rFonts w:ascii="Calibri" w:hAnsi="Calibri"/>
          <w:b w:val="0"/>
          <w:i w:val="0"/>
          <w:sz w:val="22"/>
        </w:rPr>
        <w:t>Adult and paediatric populations share the structural model. Paediatric overrides (applied after v1.3 → v2.0 calibration): faster k_p2t (+38 %), faster k_t2l (+50 %), deeper f_s_max and f_l_max (+15 %), faster k_h_catch (3.5×10⁻³), Z_asy = +1.3 (full catch-up). Full numerical comparison in `ASMD_Xenpozyme_QSP_v2_0_parameter_table.xlsx`, Sheet 3.</w:t>
      </w:r>
    </w:p>
    <w:p>
      <w:pPr>
        <w:pStyle w:val="Heading1"/>
      </w:pPr>
      <w:r>
        <w:rPr>
          <w:rFonts w:ascii="Calibri" w:hAnsi="Calibri"/>
          <w:sz w:val="32"/>
        </w:rPr>
        <w:t>11. Initial conditions</w:t>
      </w:r>
    </w:p>
    <w:p>
      <w:r>
        <w:rPr>
          <w:rFonts w:ascii="Calibri" w:hAnsi="Calibri"/>
          <w:b w:val="0"/>
          <w:i w:val="0"/>
          <w:sz w:val="22"/>
        </w:rPr>
        <w:t>All olipudase species and ADA titre start at zero. SM_lysosome, LysoSM and ceramide start at their physiological baselines (10, 15, 2 a.u. respectively for adult). Tissue burdens start at the population baselines (B_s,0 = 11.7 MN, B_l,0 = 1.4 MN, B_g,0 = 6.0 a.u. for adult; population-specific in paediatric). Height-Z starts at 0.0 for paediatric (defined relative to baseline at first dose).</w:t>
      </w:r>
    </w:p>
    <w:p>
      <w:pPr>
        <w:pStyle w:val="Heading1"/>
      </w:pPr>
      <w:r>
        <w:rPr>
          <w:rFonts w:ascii="Calibri" w:hAnsi="Calibri"/>
          <w:sz w:val="32"/>
        </w:rPr>
        <w:t>12. Numerical solver</w:t>
      </w:r>
    </w:p>
    <w:p>
      <w:r>
        <w:rPr>
          <w:rFonts w:ascii="Calibri" w:hAnsi="Calibri"/>
          <w:b w:val="0"/>
          <w:i w:val="0"/>
          <w:sz w:val="22"/>
        </w:rPr>
        <w:t>Python `scipy.integrate.solve_ivp` LSODA, rtol = 1×10⁻⁶, atol = 1×10⁻⁹. Dosing is implemented through impulsive event injections at the start of each interval. Calibration uses Nelder-Mead with the linear-proportional observable formulae; verification uses the same solver with halved tolerances (Stage 6 V&amp;V).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>Document D1 — Model Equations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IQANOVA ATLAS · ASMD/Xenpozyme QSP v2.0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