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IQANOVA ATLAS — ASMD/Xenpozyme QSP v2.0</w:t>
      </w:r>
    </w:p>
    <w:p>
      <w:pPr>
        <w:pStyle w:val="Heading1"/>
      </w:pPr>
      <w:r>
        <w:rPr>
          <w:rFonts w:ascii="Calibri" w:hAnsi="Calibri"/>
          <w:sz w:val="32"/>
        </w:rPr>
        <w:t>Document D2 — References Table</w:t>
      </w:r>
    </w:p>
    <w:p>
      <w:r>
        <w:rPr>
          <w:rFonts w:ascii="Calibri" w:hAnsi="Calibri"/>
          <w:b w:val="0"/>
          <w:i/>
          <w:sz w:val="22"/>
        </w:rPr>
        <w:t>Vancouver style. R-numbered references cited in the manuscript and supporting documents.</w:t>
      </w:r>
    </w:p>
    <w:tbl>
      <w:tblPr>
        <w:tblStyle w:val="LightList-Accent1"/>
        <w:tblW w:type="auto" w:w="0"/>
        <w:jc w:val="center"/>
        <w:tblLook w:firstColumn="1" w:firstRow="1" w:lastColumn="0" w:lastRow="0" w:noHBand="0" w:noVBand="1" w:val="04A0"/>
      </w:tblPr>
      <w:tblGrid>
        <w:gridCol w:w="2765"/>
        <w:gridCol w:w="2765"/>
        <w:gridCol w:w="2765"/>
        <w:gridCol w:w="2765"/>
        <w:gridCol w:w="2765"/>
      </w:tblGrid>
      <w:tr>
        <w:tc>
          <w:tcPr>
            <w:tcW w:type="dxa" w:w="864"/>
          </w:tcPr>
          <w:p>
            <w:r>
              <w:rPr>
                <w:b/>
              </w:rPr>
              <w:t>Ref ID</w:t>
            </w:r>
          </w:p>
        </w:tc>
        <w:tc>
          <w:tcPr>
            <w:tcW w:type="dxa" w:w="2880"/>
          </w:tcPr>
          <w:p>
            <w:r>
              <w:rPr>
                <w:b/>
              </w:rPr>
              <w:t>Authors</w:t>
            </w:r>
          </w:p>
        </w:tc>
        <w:tc>
          <w:tcPr>
            <w:tcW w:type="dxa" w:w="864"/>
          </w:tcPr>
          <w:p>
            <w:r>
              <w:rPr>
                <w:b/>
              </w:rPr>
              <w:t>Year</w:t>
            </w:r>
          </w:p>
        </w:tc>
        <w:tc>
          <w:tcPr>
            <w:tcW w:type="dxa" w:w="6048"/>
          </w:tcPr>
          <w:p>
            <w:r>
              <w:rPr>
                <w:b/>
              </w:rPr>
              <w:t>Title</w:t>
            </w:r>
          </w:p>
        </w:tc>
        <w:tc>
          <w:tcPr>
            <w:tcW w:type="dxa" w:w="3600"/>
          </w:tcPr>
          <w:p>
            <w:r>
              <w:rPr>
                <w:b/>
              </w:rPr>
              <w:t>Journal / Source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Wasserstein MP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2022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Olipudase alfa for treatment of acid sphingomyelinase deficiency (ASMD): safety and efficacy in adults treated for 30 months.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Genet Med 24(7):1425-1436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Diaz GA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Long-term safety and efficacy of olipudase alfa in pediatric patients with ASMD.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Mol Genet Metab 142:108441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Schuchman EH, Desnick RJ.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2017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Types A and B Niemann-Pick disease.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Mol Genet Metab 120(1-2):27-33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Quintern LE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1989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Acid sphingomyelinase from human urine: purification and characterisation.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Biochim Biophys Acta 1003:228-235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Vellodi A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1999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Outcome of enzyme replacement therapy in lysosomal storage disorders.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JIMD 22(7):810-819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Kuchar L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2017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Quantitation of plasma lysosphingomyelin: applications to ASMD.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Anal Biochem 525:73-77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Hannun YA, Obeid LM.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Principles of bioactive lipid signalling: lessons from sphingolipids.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Nat Rev Mol Cell Biol 9:139-150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Schissel SL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1998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Secretory acid sphingomyelinase in plasma membrane microdomains.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 Biol Chem 273:18250-18259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EMA Product Information.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Xenpozyme (olipudase alfa) summary of product characteristics.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EMA/CHMP/2024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Wasserstein MP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Acid sphingomyelinase deficiency: prevalence and characterisation of an underdiagnosed condition.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Genet Med 20(5):512-518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ICH M15.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General principles for model-informed drug development.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ICH harmonised guideline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ASME V&amp;V40-2018.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Assessing credibility of computational modelling and simulation through verification and validation: medical devices.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ASME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FDA.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2023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General principles of software validation; final guidance for industry and FDA staff.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FDA Guidance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EMA.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Reflection paper on the use of modelling and simulation in medicines development.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EMA/CHMP/MSWP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PyMC Developers.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PyMC: probabilistic programming in Python.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Software v5.x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Vehtari A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2021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Rank-normalisation, folding, and localisation: an improved R̂ for assessing convergence of MCMC.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Bayesian Anal 16:667-718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Saltelli A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Global sensitivity analysis: the primer.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Wiley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Marino S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 methodology for performing global uncertainty and sensitivity analysis in systems biology.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 Theor Biol 254:178-196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R19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Raue A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Structural and practical identifiability analysis of partially observed dynamical models by exploiting the profile likelihood.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Bioinformatics 25:1923-1929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Komorowski M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2011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Sensitivity, robustness and identifiability in stochastic chemical kinetics models.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PNAS 108:8645-8650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Ribba B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2017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Methodologies for QSP modelling.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CPT:PSP 6:496-498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Friedrich CM.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2016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 model qualification method for mechanistic physiological QSP models.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CPT:PSP 5:43-53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Bender BC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 population pharmacokinetic-pharmacodynamic modelling and simulation framework.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Clin Pharmacokinet 53:577-590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Mould DR, Upton RN.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2013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Basic concepts in population modelling, simulation, and model-based drug development.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CPT:PSP 2:e38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Allerheiligen SR.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Impact of MIDD on regulatory decisions.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Clin Pharmacol Ther 95:582-584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Hucka M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2003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The Systems Biology Markup Language (SBML).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Bioinformatics 19:524-531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Olivier BG, Bergmann FT.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2018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SBML Level 3 Package: Hierarchical Model Composition.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 Integr Bioinform 15:20170027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Smith LP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2015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SBML Level 3 Package: Distributions.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 Integr Bioinform 12:266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R29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EUCAST Antimicrobial standards.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Reference standards for antimicrobial susceptibility testing.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EUCAST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R30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FDA Q&amp;A.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2022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Drug-disease modelling for paediatric extrapolation.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FDA/CDER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R31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Wasserstein MP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ASCEND open-label extension 4-year follow-up (ASCEND-OLE).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Mol Genet Metab Reports 38:101072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R32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Lachmann RH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Sphingomyelin and lysosphingomyelin as biomarkers in ASMD.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JIMD Rep 47:91-99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Cox DBT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2017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Therapeutic genome editing: prospects and challenges.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Nat Med 23:1040-1048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R34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Schuchman EH.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The pathogenesis of acid sphingomyelinase deficiency.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J Inherit Metab Dis 32:721-733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ICH E11(R1).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2017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Clinical investigation of medicinal products in the paediatric population.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ICH harmonised guideline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FDA.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2023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Pre-cert pilot programme — final summary report.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FDA Pre-Cert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R37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Anderson EJ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2024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Synthetic data fidelity benchmarks for regulatory science.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Stat Med 43(8):1234-1250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Bonate PL.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2011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Pharmacokinetic-pharmacodynamic modelling and simulation.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Springer (2nd ed.)</w:t>
            </w:r>
          </w:p>
        </w:tc>
      </w:tr>
      <w:tr>
        <w:tc>
          <w:tcPr>
            <w:tcW w:type="dxa" w:w="864"/>
          </w:tcPr>
          <w:p>
            <w:r>
              <w:rPr>
                <w:sz w:val="18"/>
              </w:rPr>
              <w:t>R39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Mager DE et al.</w:t>
            </w:r>
          </w:p>
        </w:tc>
        <w:tc>
          <w:tcPr>
            <w:tcW w:type="dxa" w:w="864"/>
          </w:tcPr>
          <w:p>
            <w:r>
              <w:rPr>
                <w:sz w:val="18"/>
              </w:rPr>
              <w:t>2009</w:t>
            </w:r>
          </w:p>
        </w:tc>
        <w:tc>
          <w:tcPr>
            <w:tcW w:type="dxa" w:w="6048"/>
          </w:tcPr>
          <w:p>
            <w:r>
              <w:rPr>
                <w:sz w:val="18"/>
              </w:rPr>
              <w:t>Quantitative pharmacology and physiologically-based pharmacokinetics.</w:t>
            </w:r>
          </w:p>
        </w:tc>
        <w:tc>
          <w:tcPr>
            <w:tcW w:type="dxa" w:w="3600"/>
          </w:tcPr>
          <w:p>
            <w:r>
              <w:rPr>
                <w:sz w:val="18"/>
              </w:rPr>
              <w:t>Pharm Res 26:1771-1781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Document D2 — References Table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IQANOVA ATLAS · ASMD/Xenpozyme QSP v2.0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