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</w:pPr>
      <w:r>
        <w:rPr>
          <w:rFonts w:ascii="Calibri" w:hAnsi="Calibri"/>
          <w:b/>
          <w:i w:val="0"/>
          <w:sz w:val="22"/>
        </w:rPr>
        <w:t>IQANOVA Ltd, Edinburgh, Scotland, UK</w:t>
      </w:r>
    </w:p>
    <w:p>
      <w:pPr>
        <w:jc w:val="right"/>
      </w:pPr>
      <w:r>
        <w:rPr>
          <w:rFonts w:ascii="Calibri" w:hAnsi="Calibri"/>
          <w:b w:val="0"/>
          <w:i w:val="0"/>
          <w:sz w:val="22"/>
        </w:rPr>
        <w:t>May 2026</w:t>
      </w:r>
    </w:p>
    <w:p>
      <w:r>
        <w:rPr>
          <w:rFonts w:ascii="Calibri" w:hAnsi="Calibri"/>
          <w:b w:val="0"/>
          <w:i w:val="0"/>
          <w:sz w:val="22"/>
        </w:rPr>
      </w:r>
    </w:p>
    <w:p>
      <w:r>
        <w:rPr>
          <w:rFonts w:ascii="Calibri" w:hAnsi="Calibri"/>
          <w:b w:val="0"/>
          <w:i w:val="0"/>
          <w:sz w:val="22"/>
        </w:rPr>
        <w:t>Editor-in-Chief</w:t>
      </w:r>
    </w:p>
    <w:p>
      <w:r>
        <w:rPr>
          <w:rFonts w:ascii="Calibri" w:hAnsi="Calibri"/>
          <w:b w:val="0"/>
          <w:i w:val="0"/>
          <w:sz w:val="22"/>
        </w:rPr>
        <w:t>CPT: Pharmacometrics &amp; Systems Pharmacology</w:t>
      </w:r>
    </w:p>
    <w:p>
      <w:r>
        <w:rPr>
          <w:rFonts w:ascii="Calibri" w:hAnsi="Calibri"/>
          <w:b w:val="0"/>
          <w:i w:val="0"/>
          <w:sz w:val="22"/>
        </w:rPr>
        <w:t>American Society for Clinical Pharmacology &amp; Therapeutics (ASCPT)</w:t>
      </w:r>
    </w:p>
    <w:p>
      <w:r>
        <w:rPr>
          <w:rFonts w:ascii="Calibri" w:hAnsi="Calibri"/>
          <w:b w:val="0"/>
          <w:i w:val="0"/>
          <w:sz w:val="22"/>
        </w:rPr>
      </w:r>
    </w:p>
    <w:p>
      <w:r>
        <w:rPr>
          <w:rFonts w:ascii="Calibri" w:hAnsi="Calibri"/>
          <w:b/>
          <w:i w:val="0"/>
          <w:sz w:val="22"/>
        </w:rPr>
        <w:t>Subject: Manuscript submission — Mechanistic AI-QSP modelling of olipudase alfa in ASMD</w:t>
      </w:r>
    </w:p>
    <w:p>
      <w:r>
        <w:rPr>
          <w:rFonts w:ascii="Calibri" w:hAnsi="Calibri"/>
          <w:b w:val="0"/>
          <w:i w:val="0"/>
          <w:sz w:val="22"/>
        </w:rPr>
      </w:r>
    </w:p>
    <w:p>
      <w:r>
        <w:rPr>
          <w:rFonts w:ascii="Calibri" w:hAnsi="Calibri"/>
          <w:b w:val="0"/>
          <w:i w:val="0"/>
          <w:sz w:val="22"/>
        </w:rPr>
        <w:t>Dear Editor,</w:t>
      </w:r>
    </w:p>
    <w:p>
      <w:r>
        <w:rPr>
          <w:rFonts w:ascii="Calibri" w:hAnsi="Calibri"/>
          <w:b w:val="0"/>
          <w:i w:val="0"/>
          <w:sz w:val="22"/>
        </w:rPr>
      </w:r>
    </w:p>
    <w:p>
      <w:r>
        <w:rPr>
          <w:rFonts w:ascii="Calibri" w:hAnsi="Calibri"/>
          <w:b w:val="0"/>
          <w:i w:val="0"/>
          <w:sz w:val="22"/>
        </w:rPr>
        <w:t>We are pleased to submit our manuscript entitled "Mechanistic AI-QSP Modelling of Olipudase Alfa Therapy in Acid Sphingomyelinase Deficiency: Adult-to-Paediatric Bridging and Regulatory-Grade Credibility Assessment" for consideration as an original research article in CPT: Pharmacometrics &amp; Systems Pharmacology.</w:t>
      </w:r>
    </w:p>
    <w:p>
      <w:r>
        <w:rPr>
          <w:rFonts w:ascii="Calibri" w:hAnsi="Calibri"/>
          <w:b w:val="0"/>
          <w:i w:val="0"/>
          <w:sz w:val="22"/>
        </w:rPr>
      </w:r>
    </w:p>
    <w:p>
      <w:r>
        <w:rPr>
          <w:rFonts w:ascii="Calibri" w:hAnsi="Calibri"/>
          <w:b w:val="0"/>
          <w:i w:val="0"/>
          <w:sz w:val="22"/>
        </w:rPr>
        <w:t>Olipudase alfa (Xenpozyme) is the first approved enzyme replacement therapy for non-CNS manifestations of acid sphingomyelinase deficiency (ASMD), with EMA registration in 2022 and FDA approval in 2024. Despite three published trials (ASCEND adult, ASCEND-Peds, ASCEND-OLE 2-year), no mechanistic model has yet been published that simultaneously calibrates adult and paediatric responses, projects long-term efficacy beyond the 2-year follow-up, and identifies an ADA-positive sub-population. Our work fills this gap with a regulatory-grade quantitative systems pharmacology (QSP) model encoded in SBML L3v2 and built using a 14-stage AI-assisted master pipeline.</w:t>
      </w:r>
    </w:p>
    <w:p>
      <w:r>
        <w:rPr>
          <w:rFonts w:ascii="Calibri" w:hAnsi="Calibri"/>
          <w:b w:val="0"/>
          <w:i w:val="0"/>
          <w:sz w:val="22"/>
        </w:rPr>
      </w:r>
    </w:p>
    <w:p>
      <w:r>
        <w:rPr>
          <w:rFonts w:ascii="Calibri" w:hAnsi="Calibri"/>
          <w:b w:val="0"/>
          <w:i w:val="0"/>
          <w:sz w:val="22"/>
        </w:rPr>
        <w:t>We highlight the following novel contributions of the manuscript:</w:t>
      </w:r>
    </w:p>
    <w:p>
      <w:r>
        <w:rPr>
          <w:rFonts w:ascii="Calibri" w:hAnsi="Calibri"/>
          <w:b w:val="0"/>
          <w:i w:val="0"/>
          <w:sz w:val="22"/>
        </w:rPr>
        <w:t>• First mechanistic QSP model jointly calibrated against adult and paediatric olipudase alfa data, with regulatory-grade ASME V&amp;V40-2018 credibility documentation. All ten credibility gates G1–G10 are PASS or PASS-CONDITIONAL.</w:t>
      </w:r>
    </w:p>
    <w:p>
      <w:r>
        <w:rPr>
          <w:rFonts w:ascii="Calibri" w:hAnsi="Calibri"/>
          <w:b w:val="0"/>
          <w:i w:val="0"/>
          <w:sz w:val="22"/>
        </w:rPr>
        <w:t>• Hierarchical Bayesian random-effects meta-analysis (PyMC NUTS, R̂ ≤ 1.01, ESS &gt; 400) yielding pooled Week-52/W104 estimates that lie inside the 94 % credibility interval of the v2.0 model on every analysed endpoint.</w:t>
      </w:r>
    </w:p>
    <w:p>
      <w:r>
        <w:rPr>
          <w:rFonts w:ascii="Calibri" w:hAnsi="Calibri"/>
          <w:b w:val="0"/>
          <w:i w:val="0"/>
          <w:sz w:val="22"/>
        </w:rPr>
        <w:t>• Identification of saturation as the structural mechanism behind the absence of dose-response gradients in the ASCEND-OLE extension data, providing a quantitative argument for the current 3 mg/kg q2w label dose as the minimum effective dose at the 2-year horizon.</w:t>
      </w:r>
    </w:p>
    <w:p>
      <w:r>
        <w:rPr>
          <w:rFonts w:ascii="Calibri" w:hAnsi="Calibri"/>
          <w:b w:val="0"/>
          <w:i w:val="0"/>
          <w:sz w:val="22"/>
        </w:rPr>
        <w:t>• Cross-population coherence of the global sensitivity dominance pattern between adult and paediatric populations, supporting unified parameter framework with paediatric rate-constant overrides — directly relevant to ICH E11(R1) paediatric extrapolation guidance.</w:t>
      </w:r>
    </w:p>
    <w:p>
      <w:r>
        <w:rPr>
          <w:rFonts w:ascii="Calibri" w:hAnsi="Calibri"/>
          <w:b w:val="0"/>
          <w:i w:val="0"/>
          <w:sz w:val="22"/>
        </w:rPr>
      </w:r>
    </w:p>
    <w:p>
      <w:r>
        <w:rPr>
          <w:rFonts w:ascii="Calibri" w:hAnsi="Calibri"/>
          <w:b w:val="0"/>
          <w:i w:val="0"/>
          <w:sz w:val="22"/>
        </w:rPr>
        <w:t>All SBML files, calibration code, and the full regulatory artefact bundle are made available open-source under MIT/CC-BY-4.0 dual licence at https://iqanova.org/atlas/asmd-xenpozyme-v2 to support reproducibility and community extension. We declare the conflicts of interest as listed in the manuscript.</w:t>
      </w:r>
    </w:p>
    <w:p>
      <w:r>
        <w:rPr>
          <w:rFonts w:ascii="Calibri" w:hAnsi="Calibri"/>
          <w:b w:val="0"/>
          <w:i w:val="0"/>
          <w:sz w:val="22"/>
        </w:rPr>
      </w:r>
    </w:p>
    <w:p>
      <w:r>
        <w:rPr>
          <w:rFonts w:ascii="Calibri" w:hAnsi="Calibri"/>
          <w:b w:val="0"/>
          <w:i w:val="0"/>
          <w:sz w:val="22"/>
        </w:rPr>
        <w:t>We confirm that this manuscript has not been published elsewhere and is not under consideration by another journal. All authors have approved the manuscript.</w:t>
      </w:r>
    </w:p>
    <w:p>
      <w:r>
        <w:rPr>
          <w:rFonts w:ascii="Calibri" w:hAnsi="Calibri"/>
          <w:b w:val="0"/>
          <w:i w:val="0"/>
          <w:sz w:val="22"/>
        </w:rPr>
      </w:r>
    </w:p>
    <w:p>
      <w:r>
        <w:rPr>
          <w:rFonts w:ascii="Calibri" w:hAnsi="Calibri"/>
          <w:b w:val="0"/>
          <w:i w:val="0"/>
          <w:sz w:val="22"/>
        </w:rPr>
        <w:t>Thank you for your consideration. We look forward to your editorial decision.</w:t>
      </w:r>
    </w:p>
    <w:p>
      <w:r>
        <w:rPr>
          <w:rFonts w:ascii="Calibri" w:hAnsi="Calibri"/>
          <w:b w:val="0"/>
          <w:i w:val="0"/>
          <w:sz w:val="22"/>
        </w:rPr>
      </w:r>
    </w:p>
    <w:p>
      <w:r>
        <w:rPr>
          <w:rFonts w:ascii="Calibri" w:hAnsi="Calibri"/>
          <w:b w:val="0"/>
          <w:i w:val="0"/>
          <w:sz w:val="22"/>
        </w:rPr>
        <w:t>Sincerely,</w:t>
      </w:r>
    </w:p>
    <w:p>
      <w:r>
        <w:rPr>
          <w:rFonts w:ascii="Calibri" w:hAnsi="Calibri"/>
          <w:b w:val="0"/>
          <w:i w:val="0"/>
          <w:sz w:val="22"/>
        </w:rPr>
      </w:r>
    </w:p>
    <w:p>
      <w:r>
        <w:rPr>
          <w:rFonts w:ascii="Calibri" w:hAnsi="Calibri"/>
          <w:b w:val="0"/>
          <w:i w:val="0"/>
          <w:sz w:val="22"/>
        </w:rPr>
        <w:t>Prof. Igor Goryanin</w:t>
      </w:r>
    </w:p>
    <w:p>
      <w:r>
        <w:rPr>
          <w:rFonts w:ascii="Calibri" w:hAnsi="Calibri"/>
          <w:b w:val="0"/>
          <w:i w:val="0"/>
          <w:sz w:val="22"/>
        </w:rPr>
        <w:t>Founder &amp; CEO, IQANOVA Ltd</w:t>
      </w:r>
    </w:p>
    <w:p>
      <w:r>
        <w:rPr>
          <w:rFonts w:ascii="Calibri" w:hAnsi="Calibri"/>
          <w:b w:val="0"/>
          <w:i w:val="0"/>
          <w:sz w:val="22"/>
        </w:rPr>
        <w:t>Henrik Kacser Chair in Systems Biology</w:t>
      </w:r>
    </w:p>
    <w:p>
      <w:r>
        <w:rPr>
          <w:rFonts w:ascii="Calibri" w:hAnsi="Calibri"/>
          <w:b w:val="0"/>
          <w:i w:val="0"/>
          <w:sz w:val="22"/>
        </w:rPr>
        <w:t>School of Informatics, University of Edinburgh</w:t>
      </w:r>
    </w:p>
    <w:p>
      <w:r>
        <w:rPr>
          <w:rFonts w:ascii="Calibri" w:hAnsi="Calibri"/>
          <w:b w:val="0"/>
          <w:i w:val="0"/>
          <w:sz w:val="22"/>
        </w:rPr>
        <w:t>igor@iqanova.org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