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Calibri" w:hAnsi="Calibri"/>
          <w:sz w:val="40"/>
        </w:rPr>
        <w:t>Supplementary Materials Index</w:t>
      </w:r>
    </w:p>
    <w:p>
      <w:pPr>
        <w:pStyle w:val="Heading2"/>
      </w:pPr>
      <w:r>
        <w:rPr>
          <w:rFonts w:ascii="Calibri" w:hAnsi="Calibri"/>
          <w:sz w:val="24"/>
        </w:rPr>
        <w:t>ASMD/Xenpozyme QSP v2.0 — IQANOVA ATLAS Master Pipeline</w:t>
      </w:r>
    </w:p>
    <w:p>
      <w:pPr>
        <w:pStyle w:val="Heading1"/>
      </w:pPr>
      <w:r>
        <w:rPr>
          <w:rFonts w:ascii="Calibri" w:hAnsi="Calibri"/>
          <w:sz w:val="28"/>
        </w:rPr>
        <w:t>S1. SBML model files</w:t>
      </w:r>
    </w:p>
    <w:p>
      <w:r>
        <w:rPr>
          <w:rFonts w:ascii="Calibri" w:hAnsi="Calibri"/>
          <w:b w:val="0"/>
          <w:i w:val="0"/>
          <w:sz w:val="22"/>
        </w:rPr>
        <w:t>• ASMD_Xenpozyme_QSP_v2_0_adult.xml — adult population model (libSBML L3v2, 0 errors)</w:t>
      </w:r>
    </w:p>
    <w:p>
      <w:r>
        <w:rPr>
          <w:rFonts w:ascii="Calibri" w:hAnsi="Calibri"/>
          <w:b w:val="0"/>
          <w:i w:val="0"/>
          <w:sz w:val="22"/>
        </w:rPr>
        <w:t>• ASMD_Xenpozyme_QSP_v2_0_paediatric.xml — paediatric population model (libSBML L3v2, 0 errors)</w:t>
      </w:r>
    </w:p>
    <w:p>
      <w:r>
        <w:rPr>
          <w:rFonts w:ascii="Calibri" w:hAnsi="Calibri"/>
          <w:b w:val="0"/>
          <w:i w:val="0"/>
          <w:sz w:val="22"/>
        </w:rPr>
        <w:t>• ASMD_Xenpozyme_QSP_v2_0_build_summary.json — structural metadata</w:t>
      </w:r>
    </w:p>
    <w:p>
      <w:pPr>
        <w:pStyle w:val="Heading1"/>
      </w:pPr>
      <w:r>
        <w:rPr>
          <w:rFonts w:ascii="Calibri" w:hAnsi="Calibri"/>
          <w:sz w:val="28"/>
        </w:rPr>
        <w:t>S2. Synthetic data</w:t>
      </w:r>
    </w:p>
    <w:p>
      <w:r>
        <w:rPr>
          <w:rFonts w:ascii="Calibri" w:hAnsi="Calibri"/>
          <w:b w:val="0"/>
          <w:i w:val="0"/>
          <w:sz w:val="22"/>
        </w:rPr>
        <w:t>• ASMD_Xenpozyme_QSP_v2_0_synthetic_data.csv — 370 rows (64 reliability-A + 306 reliability-B)</w:t>
      </w:r>
    </w:p>
    <w:p>
      <w:r>
        <w:rPr>
          <w:rFonts w:ascii="Calibri" w:hAnsi="Calibri"/>
          <w:b w:val="0"/>
          <w:i w:val="0"/>
          <w:sz w:val="22"/>
        </w:rPr>
        <w:t>• ASMD_Xenpozyme_QSP_v2_0_data_provenance.xlsx — 4 sheets documenting all 6 source classes</w:t>
      </w:r>
    </w:p>
    <w:p>
      <w:r>
        <w:rPr>
          <w:rFonts w:ascii="Calibri" w:hAnsi="Calibri"/>
          <w:b w:val="0"/>
          <w:i w:val="0"/>
          <w:sz w:val="22"/>
        </w:rPr>
        <w:t>• ASMD_Xenpozyme_QSP_v2_0_synthetic_data.json — machine-readable index</w:t>
      </w:r>
    </w:p>
    <w:p>
      <w:pPr>
        <w:pStyle w:val="Heading1"/>
      </w:pPr>
      <w:r>
        <w:rPr>
          <w:rFonts w:ascii="Calibri" w:hAnsi="Calibri"/>
          <w:sz w:val="28"/>
        </w:rPr>
        <w:t>S3. Calibration</w:t>
      </w:r>
    </w:p>
    <w:p>
      <w:r>
        <w:rPr>
          <w:rFonts w:ascii="Calibri" w:hAnsi="Calibri"/>
          <w:b w:val="0"/>
          <w:i w:val="0"/>
          <w:sz w:val="22"/>
        </w:rPr>
        <w:t>• ASMD_Xenpozyme_QSP_v2_0_parameters.csv — final calibrated parameter values (adult + paediatric)</w:t>
      </w:r>
    </w:p>
    <w:p>
      <w:r>
        <w:rPr>
          <w:rFonts w:ascii="Calibri" w:hAnsi="Calibri"/>
          <w:b w:val="0"/>
          <w:i w:val="0"/>
          <w:sz w:val="22"/>
        </w:rPr>
        <w:t>• ASMD_Xenpozyme_QSP_v2_0_predictions.csv — predicted vs observed for every data row</w:t>
      </w:r>
    </w:p>
    <w:p>
      <w:r>
        <w:rPr>
          <w:rFonts w:ascii="Calibri" w:hAnsi="Calibri"/>
          <w:b w:val="0"/>
          <w:i w:val="0"/>
          <w:sz w:val="22"/>
        </w:rPr>
        <w:t>• ASMD_Xenpozyme_QSP_v2_0_rmse_summary.csv — per-(population, endpoint) RMSE and PASS/CHECK</w:t>
      </w:r>
    </w:p>
    <w:p>
      <w:r>
        <w:rPr>
          <w:rFonts w:ascii="Calibri" w:hAnsi="Calibri"/>
          <w:b w:val="0"/>
          <w:i w:val="0"/>
          <w:sz w:val="22"/>
        </w:rPr>
        <w:t>• calibrate_v2.py — full reproducible calibration script</w:t>
      </w:r>
    </w:p>
    <w:p>
      <w:pPr>
        <w:pStyle w:val="Heading1"/>
      </w:pPr>
      <w:r>
        <w:rPr>
          <w:rFonts w:ascii="Calibri" w:hAnsi="Calibri"/>
          <w:sz w:val="28"/>
        </w:rPr>
        <w:t>S4. V&amp;V</w:t>
      </w:r>
    </w:p>
    <w:p>
      <w:r>
        <w:rPr>
          <w:rFonts w:ascii="Calibri" w:hAnsi="Calibri"/>
          <w:b w:val="0"/>
          <w:i w:val="0"/>
          <w:sz w:val="22"/>
        </w:rPr>
        <w:t>• ASMD_Xenpozyme_QSP_v2_0_VV_report.csv / .json — 21 V&amp;V checks (20 PASS, 1 borderline)</w:t>
      </w:r>
    </w:p>
    <w:p>
      <w:pPr>
        <w:pStyle w:val="Heading1"/>
      </w:pPr>
      <w:r>
        <w:rPr>
          <w:rFonts w:ascii="Calibri" w:hAnsi="Calibri"/>
          <w:sz w:val="28"/>
        </w:rPr>
        <w:t>S5. GSA</w:t>
      </w:r>
    </w:p>
    <w:p>
      <w:r>
        <w:rPr>
          <w:rFonts w:ascii="Calibri" w:hAnsi="Calibri"/>
          <w:b w:val="0"/>
          <w:i w:val="0"/>
          <w:sz w:val="22"/>
        </w:rPr>
        <w:t>• gsa_results.json — full Spearman matrix for both populations</w:t>
      </w:r>
    </w:p>
    <w:p>
      <w:r>
        <w:rPr>
          <w:rFonts w:ascii="Calibri" w:hAnsi="Calibri"/>
          <w:b w:val="0"/>
          <w:i w:val="0"/>
          <w:sz w:val="22"/>
        </w:rPr>
        <w:t>• gsa_spearman_*.csv, gsa_pvalues_*.csv — analysis outputs</w:t>
      </w:r>
    </w:p>
    <w:p>
      <w:r>
        <w:rPr>
          <w:rFonts w:ascii="Calibri" w:hAnsi="Calibri"/>
          <w:b w:val="0"/>
          <w:i w:val="0"/>
          <w:sz w:val="22"/>
        </w:rPr>
        <w:t>• GSA_heatmap.png, GSA_barchart.png — 300 DPI publication figures</w:t>
      </w:r>
    </w:p>
    <w:p>
      <w:pPr>
        <w:pStyle w:val="Heading1"/>
      </w:pPr>
      <w:r>
        <w:rPr>
          <w:rFonts w:ascii="Calibri" w:hAnsi="Calibri"/>
          <w:sz w:val="28"/>
        </w:rPr>
        <w:t>S6. Identifiability</w:t>
      </w:r>
    </w:p>
    <w:p>
      <w:r>
        <w:rPr>
          <w:rFonts w:ascii="Calibri" w:hAnsi="Calibri"/>
          <w:b w:val="0"/>
          <w:i w:val="0"/>
          <w:sz w:val="22"/>
        </w:rPr>
        <w:t>• rse_adult.csv, rse_paediatric.csv — per-parameter RSE and class</w:t>
      </w:r>
    </w:p>
    <w:p>
      <w:r>
        <w:rPr>
          <w:rFonts w:ascii="Calibri" w:hAnsi="Calibri"/>
          <w:b w:val="0"/>
          <w:i w:val="0"/>
          <w:sz w:val="22"/>
        </w:rPr>
        <w:t>• identifiability_summary.json — high-corr pairs, mean/median RSE</w:t>
      </w:r>
    </w:p>
    <w:p>
      <w:r>
        <w:rPr>
          <w:rFonts w:ascii="Calibri" w:hAnsi="Calibri"/>
          <w:b w:val="0"/>
          <w:i w:val="0"/>
          <w:sz w:val="22"/>
        </w:rPr>
        <w:t>• RSE_bars_*.png, FIM_corr_*.png, profile_likelihood_*.png — 300 DPI figures</w:t>
      </w:r>
    </w:p>
    <w:p>
      <w:pPr>
        <w:pStyle w:val="Heading1"/>
      </w:pPr>
      <w:r>
        <w:rPr>
          <w:rFonts w:ascii="Calibri" w:hAnsi="Calibri"/>
          <w:sz w:val="28"/>
        </w:rPr>
        <w:t>S7. Bayesian meta-analysis</w:t>
      </w:r>
    </w:p>
    <w:p>
      <w:r>
        <w:rPr>
          <w:rFonts w:ascii="Calibri" w:hAnsi="Calibri"/>
          <w:b w:val="0"/>
          <w:i w:val="0"/>
          <w:sz w:val="22"/>
        </w:rPr>
        <w:t>• meta_results.json — full posterior summary</w:t>
      </w:r>
    </w:p>
    <w:p>
      <w:r>
        <w:rPr>
          <w:rFonts w:ascii="Calibri" w:hAnsi="Calibri"/>
          <w:b w:val="0"/>
          <w:i w:val="0"/>
          <w:sz w:val="22"/>
        </w:rPr>
        <w:t>• meta_diagnostics.csv — R̂, ESS, QC pass/fail per endpoint</w:t>
      </w:r>
    </w:p>
    <w:p>
      <w:r>
        <w:rPr>
          <w:rFonts w:ascii="Calibri" w:hAnsi="Calibri"/>
          <w:b w:val="0"/>
          <w:i w:val="0"/>
          <w:sz w:val="22"/>
        </w:rPr>
        <w:t>• posterior_*.csv — per-study θᵢ posterior means and 94 % HDI</w:t>
      </w:r>
    </w:p>
    <w:p>
      <w:r>
        <w:rPr>
          <w:rFonts w:ascii="Calibri" w:hAnsi="Calibri"/>
          <w:b w:val="0"/>
          <w:i w:val="0"/>
          <w:sz w:val="22"/>
        </w:rPr>
        <w:t>• forest_plots.png, posterior_distributions.png — 300 DPI figures</w:t>
      </w:r>
    </w:p>
    <w:p>
      <w:pPr>
        <w:pStyle w:val="Heading1"/>
      </w:pPr>
      <w:r>
        <w:rPr>
          <w:rFonts w:ascii="Calibri" w:hAnsi="Calibri"/>
          <w:sz w:val="28"/>
        </w:rPr>
        <w:t>S8. Combination/regimen optimisation</w:t>
      </w:r>
    </w:p>
    <w:p>
      <w:r>
        <w:rPr>
          <w:rFonts w:ascii="Calibri" w:hAnsi="Calibri"/>
          <w:b w:val="0"/>
          <w:i w:val="0"/>
          <w:sz w:val="22"/>
        </w:rPr>
        <w:t>• ASMD_Xenpozyme_QSP_v2_0_combination_outcomes.csv — W52/W104 outcomes per regimen × population</w:t>
      </w:r>
    </w:p>
    <w:p>
      <w:r>
        <w:rPr>
          <w:rFonts w:ascii="Calibri" w:hAnsi="Calibri"/>
          <w:b w:val="0"/>
          <w:i w:val="0"/>
          <w:sz w:val="22"/>
        </w:rPr>
        <w:t>• ASMD_Xenpozyme_QSP_v2_0_decision_table.csv — sorted by composite score</w:t>
      </w:r>
    </w:p>
    <w:p>
      <w:r>
        <w:rPr>
          <w:rFonts w:ascii="Calibri" w:hAnsi="Calibri"/>
          <w:b w:val="0"/>
          <w:i w:val="0"/>
          <w:sz w:val="22"/>
        </w:rPr>
        <w:t>• ASMD_Xenpozyme_QSP_v2_0_benefit_risk_table.csv — categorical benefit/risk/recommendation</w:t>
      </w:r>
    </w:p>
    <w:p>
      <w:r>
        <w:rPr>
          <w:rFonts w:ascii="Calibri" w:hAnsi="Calibri"/>
          <w:b w:val="0"/>
          <w:i w:val="0"/>
          <w:sz w:val="22"/>
        </w:rPr>
        <w:t>• Figure4_Combination_Outcomes.png — 300 DPI publication figure</w:t>
      </w:r>
    </w:p>
    <w:p>
      <w:pPr>
        <w:pStyle w:val="Heading1"/>
      </w:pPr>
      <w:r>
        <w:rPr>
          <w:rFonts w:ascii="Calibri" w:hAnsi="Calibri"/>
          <w:sz w:val="28"/>
        </w:rPr>
        <w:t>S9. Master figures</w:t>
      </w:r>
    </w:p>
    <w:p>
      <w:r>
        <w:rPr>
          <w:rFonts w:ascii="Calibri" w:hAnsi="Calibri"/>
          <w:b w:val="0"/>
          <w:i w:val="0"/>
          <w:sz w:val="22"/>
        </w:rPr>
        <w:t>• Figure1_Architecture.png — five-layer model schematic</w:t>
      </w:r>
    </w:p>
    <w:p>
      <w:r>
        <w:rPr>
          <w:rFonts w:ascii="Calibri" w:hAnsi="Calibri"/>
          <w:b w:val="0"/>
          <w:i w:val="0"/>
          <w:sz w:val="22"/>
        </w:rPr>
        <w:t>• Figure2_Calibration.png — predicted vs observed time-courses</w:t>
      </w:r>
    </w:p>
    <w:p>
      <w:r>
        <w:rPr>
          <w:rFonts w:ascii="Calibri" w:hAnsi="Calibri"/>
          <w:b w:val="0"/>
          <w:i w:val="0"/>
          <w:sz w:val="22"/>
        </w:rPr>
        <w:t>• Figure3_BiomarkerTrajectories.png — six-panel mechanistic trajectories</w:t>
      </w:r>
    </w:p>
    <w:p>
      <w:r>
        <w:rPr>
          <w:rFonts w:ascii="Calibri" w:hAnsi="Calibri"/>
          <w:b w:val="0"/>
          <w:i w:val="0"/>
          <w:sz w:val="22"/>
        </w:rPr>
        <w:t>• Figure4_Combination_Outcomes.png — eight-panel regimen comparison</w:t>
      </w:r>
    </w:p>
    <w:p>
      <w:r>
        <w:rPr>
          <w:rFonts w:ascii="Calibri" w:hAnsi="Calibri"/>
          <w:b w:val="0"/>
          <w:i w:val="0"/>
          <w:sz w:val="22"/>
        </w:rPr>
        <w:t>• FigureS1–S10 — supplementary figures (GSA, identifiability, Bayesian)</w:t>
      </w:r>
    </w:p>
    <w:p>
      <w:pPr>
        <w:pStyle w:val="Heading1"/>
      </w:pPr>
      <w:r>
        <w:rPr>
          <w:rFonts w:ascii="Calibri" w:hAnsi="Calibri"/>
          <w:sz w:val="28"/>
        </w:rPr>
        <w:t>S10. Regulatory artefacts</w:t>
      </w:r>
    </w:p>
    <w:p>
      <w:r>
        <w:rPr>
          <w:rFonts w:ascii="Calibri" w:hAnsi="Calibri"/>
          <w:b w:val="0"/>
          <w:i w:val="0"/>
          <w:sz w:val="22"/>
        </w:rPr>
        <w:t>• Parameter table xlsx (3 sheets, colour-coded)</w:t>
      </w:r>
    </w:p>
    <w:p>
      <w:r>
        <w:rPr>
          <w:rFonts w:ascii="Calibri" w:hAnsi="Calibri"/>
          <w:b w:val="0"/>
          <w:i w:val="0"/>
          <w:sz w:val="22"/>
        </w:rPr>
        <w:t>• Model equations document (DOCX + PDF)</w:t>
      </w:r>
    </w:p>
    <w:p>
      <w:r>
        <w:rPr>
          <w:rFonts w:ascii="Calibri" w:hAnsi="Calibri"/>
          <w:b w:val="0"/>
          <w:i w:val="0"/>
          <w:sz w:val="22"/>
        </w:rPr>
        <w:t>• References table landscape (DOCX + PDF, 39 refs)</w:t>
      </w:r>
    </w:p>
    <w:p>
      <w:r>
        <w:rPr>
          <w:rFonts w:ascii="Calibri" w:hAnsi="Calibri"/>
          <w:b w:val="0"/>
          <w:i w:val="0"/>
          <w:sz w:val="22"/>
        </w:rPr>
        <w:t>• Bayesian meta-analysis report (DOCX + PDF)</w:t>
      </w:r>
    </w:p>
    <w:p>
      <w:r>
        <w:rPr>
          <w:rFonts w:ascii="Calibri" w:hAnsi="Calibri"/>
          <w:b w:val="0"/>
          <w:i w:val="0"/>
          <w:sz w:val="22"/>
        </w:rPr>
        <w:t>• Identifiability report (DOCX + PDF)</w:t>
      </w:r>
    </w:p>
    <w:p>
      <w:r>
        <w:rPr>
          <w:rFonts w:ascii="Calibri" w:hAnsi="Calibri"/>
          <w:b w:val="0"/>
          <w:i w:val="0"/>
          <w:sz w:val="22"/>
        </w:rPr>
        <w:t>• Regulatory report R1–R14 (DOCX + PDF)</w:t>
      </w:r>
    </w:p>
    <w:p>
      <w:pPr>
        <w:pStyle w:val="Heading1"/>
      </w:pPr>
      <w:r>
        <w:rPr>
          <w:rFonts w:ascii="Calibri" w:hAnsi="Calibri"/>
          <w:sz w:val="28"/>
        </w:rPr>
        <w:t>S11. Reproducibility</w:t>
      </w:r>
    </w:p>
    <w:p>
      <w:r>
        <w:rPr>
          <w:rFonts w:ascii="Calibri" w:hAnsi="Calibri"/>
          <w:b w:val="0"/>
          <w:i w:val="0"/>
          <w:sz w:val="22"/>
        </w:rPr>
        <w:t>• All Python scripts run end-to-end on a Linux container with python-libsbml, scipy, pymc, arviz, openpyxl, python-docx, reportlab installed.</w:t>
      </w:r>
    </w:p>
    <w:p>
      <w:r>
        <w:rPr>
          <w:rFonts w:ascii="Calibri" w:hAnsi="Calibri"/>
          <w:b w:val="0"/>
          <w:i w:val="0"/>
          <w:sz w:val="22"/>
        </w:rPr>
        <w:t>• Random seeds fixed at 42 throughout for full bitwise reproducibility.</w:t>
      </w:r>
    </w:p>
    <w:p>
      <w:r>
        <w:rPr>
          <w:rFonts w:ascii="Calibri" w:hAnsi="Calibri"/>
          <w:b w:val="0"/>
          <w:i w:val="0"/>
          <w:sz w:val="22"/>
        </w:rPr>
        <w:t>• Version-controlled archive: https://iqanova.org/atlas/asmd-xenpozyme-v2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