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5F59E" w14:textId="77777777" w:rsidR="00C3338F" w:rsidRDefault="00C3338F">
      <w:pPr>
        <w:pStyle w:val="BodyText"/>
        <w:spacing w:before="83"/>
        <w:ind w:left="0"/>
        <w:rPr>
          <w:rFonts w:ascii="Times New Roman"/>
          <w:sz w:val="18"/>
        </w:rPr>
      </w:pPr>
    </w:p>
    <w:p w14:paraId="292C8039" w14:textId="77777777" w:rsidR="00C3338F" w:rsidRDefault="00000000">
      <w:pPr>
        <w:ind w:left="1"/>
        <w:rPr>
          <w:b/>
          <w:sz w:val="18"/>
        </w:rPr>
      </w:pPr>
      <w:r>
        <w:rPr>
          <w:b/>
          <w:color w:val="0E6EC3"/>
          <w:sz w:val="18"/>
        </w:rPr>
        <w:t>PREPRINT</w:t>
      </w:r>
      <w:r>
        <w:rPr>
          <w:b/>
          <w:color w:val="0E6EC3"/>
          <w:spacing w:val="-5"/>
          <w:sz w:val="18"/>
        </w:rPr>
        <w:t xml:space="preserve"> </w:t>
      </w:r>
      <w:r>
        <w:rPr>
          <w:b/>
          <w:color w:val="0E6EC3"/>
          <w:sz w:val="18"/>
        </w:rPr>
        <w:t>·</w:t>
      </w:r>
      <w:r>
        <w:rPr>
          <w:b/>
          <w:color w:val="0E6EC3"/>
          <w:spacing w:val="-5"/>
          <w:sz w:val="18"/>
        </w:rPr>
        <w:t xml:space="preserve"> </w:t>
      </w:r>
      <w:r>
        <w:rPr>
          <w:b/>
          <w:color w:val="0E6EC3"/>
          <w:sz w:val="18"/>
        </w:rPr>
        <w:t>MEDRXIV</w:t>
      </w:r>
      <w:r>
        <w:rPr>
          <w:b/>
          <w:color w:val="0E6EC3"/>
          <w:spacing w:val="-5"/>
          <w:sz w:val="18"/>
        </w:rPr>
        <w:t xml:space="preserve"> </w:t>
      </w:r>
      <w:r>
        <w:rPr>
          <w:b/>
          <w:color w:val="0E6EC3"/>
          <w:sz w:val="18"/>
        </w:rPr>
        <w:t>·</w:t>
      </w:r>
      <w:r>
        <w:rPr>
          <w:b/>
          <w:color w:val="0E6EC3"/>
          <w:spacing w:val="-5"/>
          <w:sz w:val="18"/>
        </w:rPr>
        <w:t xml:space="preserve"> </w:t>
      </w:r>
      <w:r>
        <w:rPr>
          <w:b/>
          <w:color w:val="0E6EC3"/>
          <w:sz w:val="18"/>
        </w:rPr>
        <w:t>NOT</w:t>
      </w:r>
      <w:r>
        <w:rPr>
          <w:b/>
          <w:color w:val="0E6EC3"/>
          <w:spacing w:val="-5"/>
          <w:sz w:val="18"/>
        </w:rPr>
        <w:t xml:space="preserve"> </w:t>
      </w:r>
      <w:r>
        <w:rPr>
          <w:b/>
          <w:color w:val="0E6EC3"/>
          <w:sz w:val="18"/>
        </w:rPr>
        <w:t>PEER-</w:t>
      </w:r>
      <w:r>
        <w:rPr>
          <w:b/>
          <w:color w:val="0E6EC3"/>
          <w:spacing w:val="-2"/>
          <w:sz w:val="18"/>
        </w:rPr>
        <w:t>REVIEWED</w:t>
      </w:r>
    </w:p>
    <w:p w14:paraId="2B3FE2AD" w14:textId="77777777" w:rsidR="00C3338F" w:rsidRDefault="00000000">
      <w:pPr>
        <w:pStyle w:val="BodyText"/>
        <w:spacing w:before="167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74AE" wp14:editId="128326DB">
                <wp:simplePos x="0" y="0"/>
                <wp:positionH relativeFrom="page">
                  <wp:posOffset>914400</wp:posOffset>
                </wp:positionH>
                <wp:positionV relativeFrom="paragraph">
                  <wp:posOffset>276654</wp:posOffset>
                </wp:positionV>
                <wp:extent cx="594296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12700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5942965" y="12700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5FAA" id="Graphic 3" o:spid="_x0000_s1026" style="position:absolute;margin-left:1in;margin-top:21.8pt;width:467.9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9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" path="m5942965,l,,,12700r5942965,l5942965,xe" fillcolor="#0e6ec3" stroked="f">
                <v:path arrowok="t"/>
                <w10:wrap type="topAndBottom" anchorx="page"/>
              </v:shape>
            </w:pict>
          </mc:Fallback>
        </mc:AlternateContent>
      </w:r>
    </w:p>
    <w:p w14:paraId="4CE7C3C4" w14:textId="7A43DF3F" w:rsidR="00C3338F" w:rsidRDefault="00000000">
      <w:pPr>
        <w:pStyle w:val="Heading1"/>
      </w:pPr>
      <w:r>
        <w:rPr>
          <w:color w:val="19192D"/>
        </w:rPr>
        <w:t>Executable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AI-QSP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model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of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autoimmune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gastritis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reveals</w:t>
      </w:r>
      <w:r>
        <w:rPr>
          <w:color w:val="19192D"/>
          <w:spacing w:val="-7"/>
        </w:rPr>
        <w:t xml:space="preserve"> </w:t>
      </w:r>
      <w:r>
        <w:rPr>
          <w:color w:val="19192D"/>
        </w:rPr>
        <w:t>biomarker identifiability limits from cross-sectional literature calibration</w:t>
      </w:r>
      <w:r w:rsidR="007822DB">
        <w:rPr>
          <w:color w:val="19192D"/>
        </w:rPr>
        <w:t>.</w:t>
      </w:r>
    </w:p>
    <w:p w14:paraId="724E0387" w14:textId="77777777" w:rsidR="00C3338F" w:rsidRDefault="00000000">
      <w:pPr>
        <w:spacing w:before="141"/>
        <w:ind w:left="1"/>
        <w:rPr>
          <w:position w:val="6"/>
          <w:sz w:val="9"/>
        </w:rPr>
      </w:pPr>
      <w:r>
        <w:rPr>
          <w:color w:val="19192D"/>
        </w:rPr>
        <w:t>Igor</w:t>
      </w:r>
      <w:r>
        <w:rPr>
          <w:color w:val="19192D"/>
          <w:spacing w:val="-3"/>
        </w:rPr>
        <w:t xml:space="preserve"> </w:t>
      </w:r>
      <w:r>
        <w:rPr>
          <w:color w:val="19192D"/>
        </w:rPr>
        <w:t>Goryanin</w:t>
      </w:r>
      <w:proofErr w:type="gramStart"/>
      <w:r>
        <w:rPr>
          <w:color w:val="19192D"/>
          <w:position w:val="6"/>
          <w:sz w:val="9"/>
        </w:rPr>
        <w:t>¹,²</w:t>
      </w:r>
      <w:proofErr w:type="gramEnd"/>
      <w:r>
        <w:rPr>
          <w:color w:val="19192D"/>
          <w:spacing w:val="51"/>
          <w:position w:val="6"/>
          <w:sz w:val="9"/>
        </w:rPr>
        <w:t xml:space="preserve">  </w:t>
      </w:r>
      <w:r>
        <w:rPr>
          <w:color w:val="19192D"/>
        </w:rPr>
        <w:t>Irina</w:t>
      </w:r>
      <w:r>
        <w:rPr>
          <w:color w:val="19192D"/>
          <w:spacing w:val="-2"/>
        </w:rPr>
        <w:t xml:space="preserve"> </w:t>
      </w:r>
      <w:r>
        <w:rPr>
          <w:color w:val="19192D"/>
        </w:rPr>
        <w:t>V.</w:t>
      </w:r>
      <w:r>
        <w:rPr>
          <w:color w:val="19192D"/>
          <w:spacing w:val="-2"/>
        </w:rPr>
        <w:t xml:space="preserve"> Goryanin</w:t>
      </w:r>
      <w:r>
        <w:rPr>
          <w:color w:val="19192D"/>
          <w:spacing w:val="-2"/>
          <w:position w:val="6"/>
          <w:sz w:val="9"/>
        </w:rPr>
        <w:t>²</w:t>
      </w:r>
    </w:p>
    <w:p w14:paraId="35EA3D44" w14:textId="77777777" w:rsidR="00C3338F" w:rsidRDefault="00000000">
      <w:pPr>
        <w:spacing w:before="40" w:line="261" w:lineRule="auto"/>
        <w:ind w:left="1" w:right="4084"/>
        <w:rPr>
          <w:sz w:val="18"/>
        </w:rPr>
      </w:pPr>
      <w:r>
        <w:rPr>
          <w:color w:val="545454"/>
          <w:sz w:val="18"/>
        </w:rPr>
        <w:t>¹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University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of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Edinburgh,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UK</w:t>
      </w:r>
      <w:r>
        <w:rPr>
          <w:color w:val="545454"/>
          <w:spacing w:val="80"/>
          <w:sz w:val="18"/>
        </w:rPr>
        <w:t xml:space="preserve"> </w:t>
      </w:r>
      <w:r>
        <w:rPr>
          <w:color w:val="545454"/>
          <w:sz w:val="18"/>
        </w:rPr>
        <w:t>²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IQANOVA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Ltd,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>Edinburgh,</w:t>
      </w:r>
      <w:r>
        <w:rPr>
          <w:color w:val="545454"/>
          <w:spacing w:val="-4"/>
          <w:sz w:val="18"/>
        </w:rPr>
        <w:t xml:space="preserve"> </w:t>
      </w:r>
      <w:r>
        <w:rPr>
          <w:color w:val="545454"/>
          <w:sz w:val="18"/>
        </w:rPr>
        <w:t xml:space="preserve">UK Correspondence: </w:t>
      </w:r>
      <w:hyperlink r:id="rId7">
        <w:r>
          <w:rPr>
            <w:color w:val="0E6EC3"/>
            <w:sz w:val="18"/>
          </w:rPr>
          <w:t>goryanin@ed.ac.uk</w:t>
        </w:r>
      </w:hyperlink>
    </w:p>
    <w:p w14:paraId="763D30D7" w14:textId="77777777" w:rsidR="00C3338F" w:rsidRDefault="00000000">
      <w:pPr>
        <w:pStyle w:val="BodyText"/>
        <w:spacing w:before="11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766BC3" wp14:editId="7610E743">
                <wp:simplePos x="0" y="0"/>
                <wp:positionH relativeFrom="page">
                  <wp:posOffset>919480</wp:posOffset>
                </wp:positionH>
                <wp:positionV relativeFrom="paragraph">
                  <wp:posOffset>120771</wp:posOffset>
                </wp:positionV>
                <wp:extent cx="5943600" cy="4559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455930"/>
                        </a:xfrm>
                        <a:prstGeom prst="rect">
                          <a:avLst/>
                        </a:prstGeom>
                        <a:solidFill>
                          <a:srgbClr val="EDF2F7"/>
                        </a:solidFill>
                        <a:ln w="9525">
                          <a:solidFill>
                            <a:srgbClr val="0E6EC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CCB17" w14:textId="77777777" w:rsidR="00C3338F" w:rsidRDefault="00000000">
                            <w:pPr>
                              <w:spacing w:before="118"/>
                              <w:ind w:left="153" w:right="176"/>
                              <w:rPr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9192D"/>
                                <w:sz w:val="19"/>
                              </w:rPr>
                              <w:t xml:space="preserve">Status labels (mandatory).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Model evolution state CORE_CALIBRATED for the gastrin subsystem; surrogate / cross-sectional-calibrated,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clinically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validated.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All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temporal-dynamic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therapeutic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results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color w:val="19192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9192D"/>
                                <w:sz w:val="19"/>
                              </w:rPr>
                              <w:t>hypothesis-generating.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66BC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2.4pt;margin-top:9.5pt;width:468pt;height:35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" fillcolor="#edf2f7" strokecolor="#0e6ec3">
                <v:path arrowok="t"/>
                <v:textbox inset="0,0,0,0">
                  <w:txbxContent>
                    <w:p w14:paraId="7F5CCB17" w14:textId="77777777" w:rsidR="00C3338F" w:rsidRDefault="00000000">
                      <w:pPr>
                        <w:spacing w:before="118"/>
                        <w:ind w:left="153" w:right="176"/>
                        <w:rPr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19192D"/>
                          <w:sz w:val="19"/>
                        </w:rPr>
                        <w:t xml:space="preserve">Status labels (mandatory). </w:t>
                      </w:r>
                      <w:r>
                        <w:rPr>
                          <w:color w:val="19192D"/>
                          <w:sz w:val="19"/>
                        </w:rPr>
                        <w:t>Model evolution state CORE_CALIBRATED for the gastrin subsystem; surrogate / cross-sectional-calibrated,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not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clinically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validated.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All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temporal-dynamic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and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therapeutic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results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are</w:t>
                      </w:r>
                      <w:r>
                        <w:rPr>
                          <w:color w:val="19192D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color w:val="19192D"/>
                          <w:sz w:val="19"/>
                        </w:rPr>
                        <w:t>hypothesis-generating.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87B1D3" w14:textId="77777777" w:rsidR="00C3338F" w:rsidRDefault="00000000">
      <w:pPr>
        <w:spacing w:before="227"/>
        <w:ind w:left="1"/>
        <w:rPr>
          <w:b/>
        </w:rPr>
      </w:pPr>
      <w:r>
        <w:rPr>
          <w:b/>
          <w:color w:val="0E6EC3"/>
        </w:rPr>
        <w:t>Model</w:t>
      </w:r>
      <w:r>
        <w:rPr>
          <w:b/>
          <w:color w:val="0E6EC3"/>
          <w:spacing w:val="-3"/>
        </w:rPr>
        <w:t xml:space="preserve"> </w:t>
      </w:r>
      <w:r>
        <w:rPr>
          <w:b/>
          <w:color w:val="0E6EC3"/>
        </w:rPr>
        <w:t>&amp;</w:t>
      </w:r>
      <w:r>
        <w:rPr>
          <w:b/>
          <w:color w:val="0E6EC3"/>
          <w:spacing w:val="-3"/>
        </w:rPr>
        <w:t xml:space="preserve"> </w:t>
      </w:r>
      <w:r>
        <w:rPr>
          <w:b/>
          <w:color w:val="0E6EC3"/>
        </w:rPr>
        <w:t>run</w:t>
      </w:r>
      <w:r>
        <w:rPr>
          <w:b/>
          <w:color w:val="0E6EC3"/>
          <w:spacing w:val="-3"/>
        </w:rPr>
        <w:t xml:space="preserve"> </w:t>
      </w:r>
      <w:proofErr w:type="gramStart"/>
      <w:r>
        <w:rPr>
          <w:b/>
          <w:color w:val="0E6EC3"/>
          <w:spacing w:val="-2"/>
        </w:rPr>
        <w:t>metadata</w:t>
      </w:r>
      <w:proofErr w:type="gramEnd"/>
    </w:p>
    <w:p w14:paraId="04BDC01A" w14:textId="77777777" w:rsidR="00C3338F" w:rsidRDefault="00C3338F">
      <w:pPr>
        <w:pStyle w:val="BodyText"/>
        <w:spacing w:before="7"/>
        <w:ind w:left="0"/>
        <w:rPr>
          <w:b/>
          <w:sz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6477"/>
      </w:tblGrid>
      <w:tr w:rsidR="00C3338F" w14:paraId="718FF889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7E7F4DC1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z w:val="19"/>
              </w:rPr>
              <w:t>Model</w:t>
            </w:r>
            <w:r>
              <w:rPr>
                <w:b/>
                <w:color w:val="19192D"/>
                <w:spacing w:val="-5"/>
                <w:sz w:val="19"/>
              </w:rPr>
              <w:t xml:space="preserve"> ID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74D6DAAC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pacing w:val="-2"/>
                <w:sz w:val="19"/>
              </w:rPr>
              <w:t>AIG_VHT_v1_1_CORE_CALIBRATED</w:t>
            </w:r>
          </w:p>
        </w:tc>
      </w:tr>
      <w:tr w:rsidR="00C3338F" w14:paraId="29074065" w14:textId="77777777">
        <w:trPr>
          <w:trHeight w:val="351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3B3E89F2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Pipeline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693ECB39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z w:val="19"/>
              </w:rPr>
              <w:t>IQANOVA</w:t>
            </w:r>
            <w:r>
              <w:rPr>
                <w:color w:val="545454"/>
                <w:spacing w:val="-9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AI-QSP</w:t>
            </w:r>
            <w:r>
              <w:rPr>
                <w:color w:val="545454"/>
                <w:spacing w:val="-8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v2.21</w:t>
            </w:r>
            <w:r>
              <w:rPr>
                <w:color w:val="545454"/>
                <w:spacing w:val="-8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(fidelity</w:t>
            </w:r>
            <w:r>
              <w:rPr>
                <w:color w:val="545454"/>
                <w:spacing w:val="-9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/</w:t>
            </w:r>
            <w:r>
              <w:rPr>
                <w:color w:val="545454"/>
                <w:spacing w:val="-8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identifiability</w:t>
            </w:r>
            <w:r>
              <w:rPr>
                <w:color w:val="545454"/>
                <w:spacing w:val="-8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/</w:t>
            </w:r>
            <w:r>
              <w:rPr>
                <w:color w:val="545454"/>
                <w:spacing w:val="-9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claim-control</w:t>
            </w:r>
            <w:r>
              <w:rPr>
                <w:color w:val="545454"/>
                <w:spacing w:val="-8"/>
                <w:sz w:val="19"/>
              </w:rPr>
              <w:t xml:space="preserve"> </w:t>
            </w:r>
            <w:r>
              <w:rPr>
                <w:color w:val="545454"/>
                <w:spacing w:val="-2"/>
                <w:sz w:val="19"/>
              </w:rPr>
              <w:t>gates)</w:t>
            </w:r>
          </w:p>
        </w:tc>
      </w:tr>
      <w:tr w:rsidR="00C3338F" w14:paraId="093EEB67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163E31BE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z w:val="19"/>
              </w:rPr>
              <w:t>Input</w:t>
            </w:r>
            <w:r>
              <w:rPr>
                <w:b/>
                <w:color w:val="19192D"/>
                <w:spacing w:val="-5"/>
                <w:sz w:val="19"/>
              </w:rPr>
              <w:t xml:space="preserve"> </w:t>
            </w:r>
            <w:r>
              <w:rPr>
                <w:b/>
                <w:color w:val="19192D"/>
                <w:spacing w:val="-2"/>
                <w:sz w:val="19"/>
              </w:rPr>
              <w:t>route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6B0711B3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z w:val="19"/>
              </w:rPr>
              <w:t>UPDATE_WITH_LDI</w:t>
            </w:r>
            <w:r>
              <w:rPr>
                <w:color w:val="545454"/>
                <w:spacing w:val="-11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(calibration</w:t>
            </w:r>
            <w:r>
              <w:rPr>
                <w:color w:val="545454"/>
                <w:spacing w:val="-10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of</w:t>
            </w:r>
            <w:r>
              <w:rPr>
                <w:color w:val="545454"/>
                <w:spacing w:val="-10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prior</w:t>
            </w:r>
            <w:r>
              <w:rPr>
                <w:color w:val="545454"/>
                <w:spacing w:val="-10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ASSUMED_STRUCTURE</w:t>
            </w:r>
            <w:r>
              <w:rPr>
                <w:color w:val="545454"/>
                <w:spacing w:val="-10"/>
                <w:sz w:val="19"/>
              </w:rPr>
              <w:t xml:space="preserve"> </w:t>
            </w:r>
            <w:r>
              <w:rPr>
                <w:color w:val="545454"/>
                <w:spacing w:val="-2"/>
                <w:sz w:val="19"/>
              </w:rPr>
              <w:t>build)</w:t>
            </w:r>
          </w:p>
        </w:tc>
      </w:tr>
      <w:tr w:rsidR="00C3338F" w14:paraId="0A9EA647" w14:textId="77777777">
        <w:trPr>
          <w:trHeight w:val="583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4DD98D22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Validation</w:t>
            </w:r>
            <w:r>
              <w:rPr>
                <w:b/>
                <w:color w:val="19192D"/>
                <w:spacing w:val="4"/>
                <w:sz w:val="19"/>
              </w:rPr>
              <w:t xml:space="preserve"> </w:t>
            </w:r>
            <w:r>
              <w:rPr>
                <w:b/>
                <w:color w:val="19192D"/>
                <w:spacing w:val="-4"/>
                <w:sz w:val="19"/>
              </w:rPr>
              <w:t>tier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2E082C77" w14:textId="77777777" w:rsidR="00C3338F" w:rsidRDefault="00000000">
            <w:pPr>
              <w:pStyle w:val="TableParagraph"/>
              <w:ind w:left="122" w:right="739"/>
              <w:rPr>
                <w:sz w:val="19"/>
              </w:rPr>
            </w:pPr>
            <w:r>
              <w:rPr>
                <w:color w:val="545454"/>
                <w:sz w:val="19"/>
              </w:rPr>
              <w:t>Tier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1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(surrogate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/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cross-sectional-calibrated)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for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gastrin,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CgA</w:t>
            </w:r>
            <w:proofErr w:type="spellEnd"/>
            <w:r>
              <w:rPr>
                <w:color w:val="545454"/>
                <w:sz w:val="19"/>
              </w:rPr>
              <w:t>,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B12;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Tier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0 (hypothesis-generating) for dynamics &amp; therapy</w:t>
            </w:r>
          </w:p>
        </w:tc>
      </w:tr>
      <w:tr w:rsidR="00C3338F" w14:paraId="05AE95FB" w14:textId="77777777">
        <w:trPr>
          <w:trHeight w:val="583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035DAB7E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Calibration</w:t>
            </w:r>
            <w:r>
              <w:rPr>
                <w:b/>
                <w:color w:val="19192D"/>
                <w:spacing w:val="5"/>
                <w:sz w:val="19"/>
              </w:rPr>
              <w:t xml:space="preserve"> </w:t>
            </w:r>
            <w:r>
              <w:rPr>
                <w:b/>
                <w:color w:val="19192D"/>
                <w:spacing w:val="-4"/>
                <w:sz w:val="19"/>
              </w:rPr>
              <w:t>data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3B88AF01" w14:textId="77777777" w:rsidR="00C3338F" w:rsidRDefault="00000000">
            <w:pPr>
              <w:pStyle w:val="TableParagraph"/>
              <w:ind w:left="122" w:right="16"/>
              <w:rPr>
                <w:sz w:val="19"/>
              </w:rPr>
            </w:pPr>
            <w:proofErr w:type="spellStart"/>
            <w:r>
              <w:rPr>
                <w:color w:val="545454"/>
                <w:sz w:val="19"/>
              </w:rPr>
              <w:t>Digitised</w:t>
            </w:r>
            <w:proofErr w:type="spellEnd"/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published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cross-sectional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cohort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means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—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no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patient-level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trajectories, no synthetic trial arms</w:t>
            </w:r>
          </w:p>
        </w:tc>
      </w:tr>
      <w:tr w:rsidR="00C3338F" w14:paraId="137A531F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15BC5EC8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z w:val="19"/>
              </w:rPr>
              <w:t>Fit</w:t>
            </w:r>
            <w:r>
              <w:rPr>
                <w:b/>
                <w:color w:val="19192D"/>
                <w:spacing w:val="-3"/>
                <w:sz w:val="19"/>
              </w:rPr>
              <w:t xml:space="preserve"> </w:t>
            </w:r>
            <w:r>
              <w:rPr>
                <w:b/>
                <w:color w:val="19192D"/>
                <w:spacing w:val="-2"/>
                <w:sz w:val="19"/>
              </w:rPr>
              <w:t>quality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768CD2A7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z w:val="19"/>
              </w:rPr>
              <w:t>Overall</w:t>
            </w:r>
            <w:r>
              <w:rPr>
                <w:color w:val="545454"/>
                <w:spacing w:val="-6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log-RMSE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=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0.16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(gastrin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/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CgA</w:t>
            </w:r>
            <w:proofErr w:type="spellEnd"/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/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B12;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15</w:t>
            </w:r>
            <w:r>
              <w:rPr>
                <w:color w:val="545454"/>
                <w:spacing w:val="-3"/>
                <w:sz w:val="19"/>
              </w:rPr>
              <w:t xml:space="preserve"> </w:t>
            </w:r>
            <w:r>
              <w:rPr>
                <w:color w:val="545454"/>
                <w:spacing w:val="-2"/>
                <w:sz w:val="19"/>
              </w:rPr>
              <w:t>anchors)</w:t>
            </w:r>
          </w:p>
        </w:tc>
      </w:tr>
      <w:tr w:rsidR="00C3338F" w14:paraId="33C3D7EE" w14:textId="77777777">
        <w:trPr>
          <w:trHeight w:val="351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56D388E1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Well-identified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0C36F78F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z w:val="19"/>
              </w:rPr>
              <w:t>Ka</w:t>
            </w:r>
            <w:r>
              <w:rPr>
                <w:color w:val="545454"/>
                <w:spacing w:val="-10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(acid-feedback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threshold),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95%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CI</w:t>
            </w:r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0.43–</w:t>
            </w:r>
            <w:r>
              <w:rPr>
                <w:color w:val="545454"/>
                <w:spacing w:val="-4"/>
                <w:sz w:val="19"/>
              </w:rPr>
              <w:t>0.58</w:t>
            </w:r>
          </w:p>
        </w:tc>
      </w:tr>
      <w:tr w:rsidR="00C3338F" w14:paraId="6129E5A3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7B3F9B07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z w:val="19"/>
              </w:rPr>
              <w:t>Moderately</w:t>
            </w:r>
            <w:r>
              <w:rPr>
                <w:b/>
                <w:color w:val="19192D"/>
                <w:spacing w:val="-10"/>
                <w:sz w:val="19"/>
              </w:rPr>
              <w:t xml:space="preserve"> </w:t>
            </w:r>
            <w:r>
              <w:rPr>
                <w:b/>
                <w:color w:val="19192D"/>
                <w:spacing w:val="-2"/>
                <w:sz w:val="19"/>
              </w:rPr>
              <w:t>identified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522B4604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proofErr w:type="spellStart"/>
            <w:r>
              <w:rPr>
                <w:color w:val="545454"/>
                <w:sz w:val="19"/>
              </w:rPr>
              <w:t>G_max</w:t>
            </w:r>
            <w:proofErr w:type="spellEnd"/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(gastrin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ceiling),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B12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scale;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Hill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steepness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a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sharp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switch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</w:t>
            </w:r>
            <w:proofErr w:type="spellStart"/>
            <w:r>
              <w:rPr>
                <w:color w:val="545454"/>
                <w:sz w:val="19"/>
              </w:rPr>
              <w:t>hG</w:t>
            </w:r>
            <w:proofErr w:type="spellEnd"/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≥</w:t>
            </w:r>
            <w:r>
              <w:rPr>
                <w:color w:val="545454"/>
                <w:spacing w:val="-4"/>
                <w:sz w:val="19"/>
              </w:rPr>
              <w:t xml:space="preserve"> 4.3)</w:t>
            </w:r>
          </w:p>
        </w:tc>
      </w:tr>
      <w:tr w:rsidR="00C3338F" w14:paraId="681C65D3" w14:textId="77777777">
        <w:trPr>
          <w:trHeight w:val="583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1F5B846B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Non-identifiable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14F3CD6C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proofErr w:type="spellStart"/>
            <w:r>
              <w:rPr>
                <w:color w:val="545454"/>
                <w:sz w:val="19"/>
              </w:rPr>
              <w:t>ECL_max</w:t>
            </w:r>
            <w:proofErr w:type="spellEnd"/>
            <w:r>
              <w:rPr>
                <w:color w:val="545454"/>
                <w:sz w:val="19"/>
              </w:rPr>
              <w:t>,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Kecl</w:t>
            </w:r>
            <w:proofErr w:type="spellEnd"/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(from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cross-sectional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CgA</w:t>
            </w:r>
            <w:proofErr w:type="spellEnd"/>
            <w:r>
              <w:rPr>
                <w:color w:val="545454"/>
                <w:sz w:val="19"/>
              </w:rPr>
              <w:t>)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→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longitudinal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CgA</w:t>
            </w:r>
            <w:proofErr w:type="spellEnd"/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or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ECL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 xml:space="preserve">histology </w:t>
            </w:r>
            <w:r>
              <w:rPr>
                <w:color w:val="545454"/>
                <w:spacing w:val="-2"/>
                <w:sz w:val="19"/>
              </w:rPr>
              <w:t>required</w:t>
            </w:r>
          </w:p>
        </w:tc>
      </w:tr>
      <w:tr w:rsidR="00C3338F" w14:paraId="62A18187" w14:textId="77777777">
        <w:trPr>
          <w:trHeight w:val="583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247B3555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z w:val="19"/>
              </w:rPr>
              <w:t>Predicted</w:t>
            </w:r>
            <w:r>
              <w:rPr>
                <w:b/>
                <w:color w:val="19192D"/>
                <w:spacing w:val="-9"/>
                <w:sz w:val="19"/>
              </w:rPr>
              <w:t xml:space="preserve"> </w:t>
            </w:r>
            <w:r>
              <w:rPr>
                <w:b/>
                <w:color w:val="19192D"/>
                <w:spacing w:val="-4"/>
                <w:sz w:val="19"/>
              </w:rPr>
              <w:t>only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25B9C404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color w:val="545454"/>
                <w:sz w:val="19"/>
              </w:rPr>
              <w:t>APCA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arm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(immune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priors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fixed):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reproduces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gramStart"/>
            <w:r>
              <w:rPr>
                <w:color w:val="545454"/>
                <w:sz w:val="19"/>
              </w:rPr>
              <w:t>early-active</w:t>
            </w:r>
            <w:proofErr w:type="gramEnd"/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N-of-1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titre</w:t>
            </w:r>
            <w:proofErr w:type="spellEnd"/>
            <w:r>
              <w:rPr>
                <w:color w:val="545454"/>
                <w:sz w:val="19"/>
              </w:rPr>
              <w:t>,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not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cohort severity trend</w:t>
            </w:r>
          </w:p>
        </w:tc>
      </w:tr>
      <w:tr w:rsidR="00C3338F" w14:paraId="769B31DE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68F2FB19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Software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4C97CCDE" w14:textId="77777777" w:rsidR="00C3338F" w:rsidRDefault="00000000">
            <w:pPr>
              <w:pStyle w:val="TableParagraph"/>
              <w:ind w:left="122"/>
              <w:rPr>
                <w:sz w:val="19"/>
              </w:rPr>
            </w:pPr>
            <w:proofErr w:type="spellStart"/>
            <w:r>
              <w:rPr>
                <w:color w:val="545454"/>
                <w:sz w:val="19"/>
              </w:rPr>
              <w:t>libSBML</w:t>
            </w:r>
            <w:proofErr w:type="spellEnd"/>
            <w:r>
              <w:rPr>
                <w:color w:val="545454"/>
                <w:spacing w:val="-7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5.21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(0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fatal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errors)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·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545454"/>
                <w:sz w:val="19"/>
              </w:rPr>
              <w:t>libRoadRunner</w:t>
            </w:r>
            <w:proofErr w:type="spellEnd"/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2.9</w:t>
            </w:r>
            <w:r>
              <w:rPr>
                <w:color w:val="545454"/>
                <w:spacing w:val="-5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·</w:t>
            </w:r>
            <w:r>
              <w:rPr>
                <w:color w:val="545454"/>
                <w:spacing w:val="-4"/>
                <w:sz w:val="19"/>
              </w:rPr>
              <w:t xml:space="preserve"> </w:t>
            </w:r>
            <w:r>
              <w:rPr>
                <w:color w:val="545454"/>
                <w:spacing w:val="-2"/>
                <w:sz w:val="19"/>
              </w:rPr>
              <w:t>SciPy</w:t>
            </w:r>
          </w:p>
        </w:tc>
      </w:tr>
      <w:tr w:rsidR="00C3338F" w:rsidRPr="005F021D" w14:paraId="02A8E099" w14:textId="77777777">
        <w:trPr>
          <w:trHeight w:val="352"/>
        </w:trPr>
        <w:tc>
          <w:tcPr>
            <w:tcW w:w="2899" w:type="dxa"/>
            <w:tcBorders>
              <w:top w:val="single" w:sz="4" w:space="0" w:color="C8D3DF"/>
              <w:bottom w:val="single" w:sz="4" w:space="0" w:color="C8D3DF"/>
            </w:tcBorders>
            <w:shd w:val="clear" w:color="auto" w:fill="F6F8FB"/>
          </w:tcPr>
          <w:p w14:paraId="3AD50DF5" w14:textId="77777777" w:rsidR="00C3338F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9192D"/>
                <w:spacing w:val="-2"/>
                <w:sz w:val="19"/>
              </w:rPr>
              <w:t>Deliverables</w:t>
            </w:r>
          </w:p>
        </w:tc>
        <w:tc>
          <w:tcPr>
            <w:tcW w:w="6477" w:type="dxa"/>
            <w:tcBorders>
              <w:top w:val="single" w:sz="4" w:space="0" w:color="C8D3DF"/>
              <w:bottom w:val="single" w:sz="4" w:space="0" w:color="C8D3DF"/>
            </w:tcBorders>
          </w:tcPr>
          <w:p w14:paraId="1A8530AB" w14:textId="77777777" w:rsidR="00C3338F" w:rsidRPr="005F021D" w:rsidRDefault="00000000">
            <w:pPr>
              <w:pStyle w:val="TableParagraph"/>
              <w:ind w:left="122"/>
              <w:rPr>
                <w:sz w:val="19"/>
                <w:lang w:val="fr-FR"/>
              </w:rPr>
            </w:pPr>
            <w:r w:rsidRPr="005F021D">
              <w:rPr>
                <w:color w:val="545454"/>
                <w:sz w:val="19"/>
                <w:lang w:val="fr-FR"/>
              </w:rPr>
              <w:t>SBML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(2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branches)</w:t>
            </w:r>
            <w:r w:rsidRPr="005F021D">
              <w:rPr>
                <w:color w:val="545454"/>
                <w:spacing w:val="-3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·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SED-ML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·</w:t>
            </w:r>
            <w:r w:rsidRPr="005F021D">
              <w:rPr>
                <w:color w:val="545454"/>
                <w:spacing w:val="-3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OMEX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·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figures</w:t>
            </w:r>
            <w:r w:rsidRPr="005F021D">
              <w:rPr>
                <w:color w:val="545454"/>
                <w:spacing w:val="-3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·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z w:val="19"/>
                <w:lang w:val="fr-FR"/>
              </w:rPr>
              <w:t>SHA-256</w:t>
            </w:r>
            <w:r w:rsidRPr="005F021D">
              <w:rPr>
                <w:color w:val="545454"/>
                <w:spacing w:val="-4"/>
                <w:sz w:val="19"/>
                <w:lang w:val="fr-FR"/>
              </w:rPr>
              <w:t xml:space="preserve"> </w:t>
            </w:r>
            <w:r w:rsidRPr="005F021D">
              <w:rPr>
                <w:color w:val="545454"/>
                <w:spacing w:val="-2"/>
                <w:sz w:val="19"/>
                <w:lang w:val="fr-FR"/>
              </w:rPr>
              <w:t>manifest</w:t>
            </w:r>
          </w:p>
        </w:tc>
      </w:tr>
    </w:tbl>
    <w:p w14:paraId="23BD0435" w14:textId="77777777" w:rsidR="00C3338F" w:rsidRPr="005F021D" w:rsidRDefault="00C3338F">
      <w:pPr>
        <w:pStyle w:val="TableParagraph"/>
        <w:rPr>
          <w:sz w:val="19"/>
          <w:lang w:val="fr-FR"/>
        </w:rPr>
        <w:sectPr w:rsidR="00C3338F" w:rsidRPr="005F021D">
          <w:headerReference w:type="default" r:id="rId8"/>
          <w:footerReference w:type="default" r:id="rId9"/>
          <w:type w:val="continuous"/>
          <w:pgSz w:w="12240" w:h="15840"/>
          <w:pgMar w:top="1100" w:right="1080" w:bottom="960" w:left="1440" w:header="691" w:footer="764" w:gutter="0"/>
          <w:pgNumType w:start="1"/>
          <w:cols w:space="720"/>
        </w:sectPr>
      </w:pPr>
    </w:p>
    <w:p w14:paraId="255728B2" w14:textId="77777777" w:rsidR="00C3338F" w:rsidRDefault="00000000">
      <w:pPr>
        <w:pStyle w:val="Heading2"/>
        <w:spacing w:before="90"/>
      </w:pPr>
      <w:r>
        <w:rPr>
          <w:color w:val="19192D"/>
        </w:rPr>
        <w:lastRenderedPageBreak/>
        <w:t>Structured</w:t>
      </w:r>
      <w:r>
        <w:rPr>
          <w:color w:val="19192D"/>
          <w:spacing w:val="-10"/>
        </w:rPr>
        <w:t xml:space="preserve"> </w:t>
      </w:r>
      <w:r>
        <w:rPr>
          <w:color w:val="19192D"/>
          <w:spacing w:val="-2"/>
        </w:rPr>
        <w:t>abstract</w:t>
      </w:r>
    </w:p>
    <w:p w14:paraId="1BC0EB11" w14:textId="77777777" w:rsidR="00C3338F" w:rsidRDefault="00000000">
      <w:pPr>
        <w:pStyle w:val="BodyText"/>
        <w:spacing w:before="131" w:line="247" w:lineRule="auto"/>
        <w:ind w:right="400"/>
      </w:pPr>
      <w:r>
        <w:rPr>
          <w:b/>
          <w:color w:val="212121"/>
        </w:rPr>
        <w:t xml:space="preserve">Background. </w:t>
      </w:r>
      <w:r>
        <w:rPr>
          <w:color w:val="212121"/>
        </w:rPr>
        <w:t xml:space="preserve">Autoimmune gastritis (AIG) is a corpus-restricted, CD4⁺ T-cell–mediated destruction of gastric parietal cells producing a stereotyped biomarker cascade — hypochlorhydria, compensatory </w:t>
      </w:r>
      <w:proofErr w:type="spellStart"/>
      <w:r>
        <w:rPr>
          <w:color w:val="212121"/>
        </w:rPr>
        <w:t>hypergastrinaemia</w:t>
      </w:r>
      <w:proofErr w:type="spellEnd"/>
      <w:r>
        <w:rPr>
          <w:color w:val="212121"/>
        </w:rPr>
        <w:t>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enterochromaffin-like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(ECL)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cell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hyperplasia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type-1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neuroendocrine-</w:t>
      </w:r>
      <w:proofErr w:type="spellStart"/>
      <w:r>
        <w:rPr>
          <w:color w:val="212121"/>
        </w:rPr>
        <w:t>tumour</w:t>
      </w:r>
      <w:proofErr w:type="spellEnd"/>
      <w:r>
        <w:rPr>
          <w:color w:val="212121"/>
          <w:spacing w:val="-7"/>
        </w:rPr>
        <w:t xml:space="preserve"> </w:t>
      </w:r>
      <w:r>
        <w:rPr>
          <w:color w:val="212121"/>
        </w:rPr>
        <w:t>risk,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and intrinsic-factor–dependent vitamin B12 and iron failure. Despite a well-mapped mechanism, no executable QSP model of the coupled loop exists, and the field lacks a transparent test of which parameters are identifiable from routinely reported biomarkers.</w:t>
      </w:r>
    </w:p>
    <w:p w14:paraId="530699B5" w14:textId="11BCFCD9" w:rsidR="00C3338F" w:rsidRDefault="00000000">
      <w:pPr>
        <w:pStyle w:val="BodyText"/>
        <w:spacing w:before="120" w:line="247" w:lineRule="auto"/>
        <w:ind w:right="516"/>
      </w:pPr>
      <w:r>
        <w:rPr>
          <w:b/>
          <w:color w:val="212121"/>
        </w:rPr>
        <w:t xml:space="preserve">Methods. </w:t>
      </w:r>
      <w:r>
        <w:rPr>
          <w:color w:val="212121"/>
        </w:rPr>
        <w:t>Using a gated AI-QSP pipeline, we assembled an eight-state SBML model coupling a parietal–effector-T–regulatory-T–autoantibody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acid→gastrin→ECL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trophic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loop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intrinsic-factor–gated B12/iron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output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modules.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Because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published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AIG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overwhelmingly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cross-sectional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atrophy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stage, we calibrated the model's steady-state manifold against </w:t>
      </w:r>
      <w:proofErr w:type="spellStart"/>
      <w:r>
        <w:rPr>
          <w:color w:val="212121"/>
        </w:rPr>
        <w:t>digitised</w:t>
      </w:r>
      <w:proofErr w:type="spellEnd"/>
      <w:r>
        <w:rPr>
          <w:color w:val="212121"/>
        </w:rPr>
        <w:t xml:space="preserve"> literature cohort means (gastrin, chromogranin A [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>], vitamin B12) along a parietal-mass severity axis, holding immune parameters at literature priors.</w:t>
      </w:r>
      <w:r w:rsidR="00F62808" w:rsidRPr="00F62808">
        <w:t xml:space="preserve"> </w:t>
      </w:r>
      <w:r w:rsidR="00F62808" w:rsidRPr="00F62808">
        <w:rPr>
          <w:color w:val="212121"/>
        </w:rPr>
        <w:t xml:space="preserve">Identifiability was assessed using profile likelihood with a χ²₁ 95% threshold, corresponding to </w:t>
      </w:r>
      <w:proofErr w:type="spellStart"/>
      <w:r w:rsidR="00F62808" w:rsidRPr="00F62808">
        <w:rPr>
          <w:color w:val="212121"/>
        </w:rPr>
        <w:t>Δcost</w:t>
      </w:r>
      <w:proofErr w:type="spellEnd"/>
      <w:r w:rsidR="00F62808" w:rsidRPr="00F62808">
        <w:rPr>
          <w:color w:val="212121"/>
        </w:rPr>
        <w:t xml:space="preserve"> = 1.92.</w:t>
      </w:r>
      <w:r>
        <w:rPr>
          <w:color w:val="212121"/>
        </w:rPr>
        <w:t xml:space="preserve"> A publicly disclosed case (anti-parietal antibody [APCA] 103 U/mL, early atrophy-confined disease) served as an out-of-sample N-of-1 overlay.</w:t>
      </w:r>
    </w:p>
    <w:p w14:paraId="3F4386E0" w14:textId="77777777" w:rsidR="00C3338F" w:rsidRDefault="00000000">
      <w:pPr>
        <w:pStyle w:val="BodyText"/>
        <w:spacing w:before="120" w:line="247" w:lineRule="auto"/>
        <w:ind w:right="383"/>
      </w:pPr>
      <w:r>
        <w:rPr>
          <w:b/>
          <w:color w:val="212121"/>
        </w:rPr>
        <w:t xml:space="preserve">Results. </w:t>
      </w:r>
      <w:r>
        <w:rPr>
          <w:color w:val="212121"/>
        </w:rPr>
        <w:t xml:space="preserve">The gastrin,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 xml:space="preserve"> and B12 arms were reproduced with an overall log-RMSE of 0.16. Profile likelihood identified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acid-feedback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threshold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(Ka)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well-constrained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(95%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0.43–0.58),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gastrin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ceiling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B12 scale as moderately constrained, and the acid-feedback steepness as a sharp switch (Hill ≥ 4.3). The ECL-hyperplasia parameters were non-identifiable from cross-sectional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 xml:space="preserve"> alone. The antibody arm, predicted with fixed immune priors, reproduced the early-active N-of-1 </w:t>
      </w:r>
      <w:proofErr w:type="spellStart"/>
      <w:r>
        <w:rPr>
          <w:color w:val="212121"/>
        </w:rPr>
        <w:t>titre</w:t>
      </w:r>
      <w:proofErr w:type="spellEnd"/>
      <w:r>
        <w:rPr>
          <w:color w:val="212121"/>
        </w:rPr>
        <w:t xml:space="preserve"> (98 vs 103 U/mL) but failed to reproduce the cohort severity trend, exposing a specific structural gap.</w:t>
      </w:r>
    </w:p>
    <w:p w14:paraId="1C9A1C37" w14:textId="77777777" w:rsidR="00C3338F" w:rsidRDefault="00000000">
      <w:pPr>
        <w:pStyle w:val="BodyText"/>
        <w:spacing w:before="120" w:line="247" w:lineRule="auto"/>
        <w:ind w:right="538"/>
      </w:pPr>
      <w:r>
        <w:rPr>
          <w:b/>
          <w:color w:val="212121"/>
        </w:rPr>
        <w:t>Conclusions.</w:t>
      </w:r>
      <w:r>
        <w:rPr>
          <w:b/>
          <w:color w:val="212121"/>
          <w:spacing w:val="-4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AI-assembled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QSP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model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reproduces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AIG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biomarker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cascade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under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literature-anchored cross-sectional calibration, and its profile-likelihood analysis converts vague uncertainty into a precise experimental agenda: the binding constraint is data identifiability, not biological plausibility. The N-of-1-to-cohort tension in the antibody arm is itself the model's most actionable output.</w:t>
      </w:r>
    </w:p>
    <w:p w14:paraId="5F391F7A" w14:textId="77777777" w:rsidR="00C3338F" w:rsidRDefault="00000000">
      <w:pPr>
        <w:pStyle w:val="Heading2"/>
        <w:numPr>
          <w:ilvl w:val="0"/>
          <w:numId w:val="2"/>
        </w:numPr>
        <w:tabs>
          <w:tab w:val="left" w:pos="279"/>
        </w:tabs>
        <w:ind w:left="279" w:hanging="278"/>
      </w:pPr>
      <w:r>
        <w:rPr>
          <w:color w:val="19192D"/>
          <w:spacing w:val="-2"/>
        </w:rPr>
        <w:t>Introduction</w:t>
      </w:r>
    </w:p>
    <w:p w14:paraId="2D797FAF" w14:textId="77777777" w:rsidR="00C3338F" w:rsidRDefault="00000000">
      <w:pPr>
        <w:pStyle w:val="BodyText"/>
        <w:spacing w:before="131" w:line="247" w:lineRule="auto"/>
        <w:ind w:right="383"/>
      </w:pPr>
      <w:r>
        <w:rPr>
          <w:color w:val="212121"/>
        </w:rPr>
        <w:t xml:space="preserve">The pathophysiology of AIG is unusually well </w:t>
      </w:r>
      <w:proofErr w:type="spellStart"/>
      <w:r>
        <w:rPr>
          <w:color w:val="212121"/>
        </w:rPr>
        <w:t>characterised</w:t>
      </w:r>
      <w:proofErr w:type="spellEnd"/>
      <w:r>
        <w:rPr>
          <w:color w:val="212121"/>
        </w:rPr>
        <w:t xml:space="preserve"> qualitatively: autoreactive CD4⁺ Th1/Th17 cells target the gastric H⁺/K⁺-ATPase, driving parietal-cell apoptosis via </w:t>
      </w:r>
      <w:proofErr w:type="spellStart"/>
      <w:r>
        <w:rPr>
          <w:color w:val="212121"/>
        </w:rPr>
        <w:t>Fas</w:t>
      </w:r>
      <w:proofErr w:type="spellEnd"/>
      <w:r>
        <w:rPr>
          <w:color w:val="212121"/>
        </w:rPr>
        <w:t>/</w:t>
      </w:r>
      <w:proofErr w:type="spellStart"/>
      <w:r>
        <w:rPr>
          <w:color w:val="212121"/>
        </w:rPr>
        <w:t>FasL</w:t>
      </w:r>
      <w:proofErr w:type="spellEnd"/>
      <w:r>
        <w:rPr>
          <w:color w:val="212121"/>
        </w:rPr>
        <w:t>, perforin–granzyme and complement,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B-cell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autoantibody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defective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regulatory-T-cell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suppression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amplifiers.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resulting hypochlorhydria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removes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gastrin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negative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feedback,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sustained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hypergastrinaemia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trophic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ECL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cells, coupling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autoimmune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lesion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neuroendocrine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neoplasia.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qualitative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clarity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translated into an executable, calibrated model that states — quantitatively and </w:t>
      </w:r>
      <w:proofErr w:type="spellStart"/>
      <w:r>
        <w:rPr>
          <w:color w:val="212121"/>
        </w:rPr>
        <w:t>falsifiably</w:t>
      </w:r>
      <w:proofErr w:type="spellEnd"/>
      <w:r>
        <w:rPr>
          <w:color w:val="212121"/>
        </w:rPr>
        <w:t xml:space="preserve"> — which of its parameters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available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clinical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down.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address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gap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gated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AI-QSP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workflow </w:t>
      </w:r>
      <w:r>
        <w:rPr>
          <w:color w:val="0E6EC3"/>
        </w:rPr>
        <w:t>[11]</w:t>
      </w:r>
      <w:r>
        <w:rPr>
          <w:color w:val="212121"/>
        </w:rPr>
        <w:t>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deliberately foregrounding identifiability over fit.</w:t>
      </w:r>
    </w:p>
    <w:p w14:paraId="292439C9" w14:textId="77777777" w:rsidR="00C3338F" w:rsidRDefault="00000000">
      <w:pPr>
        <w:pStyle w:val="Heading2"/>
        <w:numPr>
          <w:ilvl w:val="0"/>
          <w:numId w:val="2"/>
        </w:numPr>
        <w:tabs>
          <w:tab w:val="left" w:pos="279"/>
        </w:tabs>
        <w:ind w:left="279" w:hanging="278"/>
      </w:pPr>
      <w:r>
        <w:rPr>
          <w:color w:val="19192D"/>
          <w:spacing w:val="-2"/>
        </w:rPr>
        <w:t>Methods</w:t>
      </w:r>
    </w:p>
    <w:p w14:paraId="6DC9AC5C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spacing w:before="180"/>
        <w:ind w:left="359" w:hanging="358"/>
      </w:pPr>
      <w:r>
        <w:rPr>
          <w:color w:val="0E6EC3"/>
        </w:rPr>
        <w:t>Model</w:t>
      </w:r>
      <w:r>
        <w:rPr>
          <w:color w:val="0E6EC3"/>
          <w:spacing w:val="-5"/>
        </w:rPr>
        <w:t xml:space="preserve"> </w:t>
      </w:r>
      <w:proofErr w:type="gramStart"/>
      <w:r>
        <w:rPr>
          <w:color w:val="0E6EC3"/>
          <w:spacing w:val="-2"/>
        </w:rPr>
        <w:t>structure</w:t>
      </w:r>
      <w:proofErr w:type="gramEnd"/>
    </w:p>
    <w:p w14:paraId="6CE6252E" w14:textId="77777777" w:rsidR="00C3338F" w:rsidRDefault="00000000">
      <w:pPr>
        <w:pStyle w:val="BodyText"/>
        <w:spacing w:line="247" w:lineRule="auto"/>
        <w:ind w:right="483"/>
      </w:pPr>
      <w:r>
        <w:rPr>
          <w:color w:val="212121"/>
        </w:rPr>
        <w:t>Eight dynamic states across three compartments (corpus: parietal mass P, ECL mass, effector T Teff, regulatory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Treg;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circulation: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autoantibody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Ab,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gastrin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B12,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iron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Fe),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gastric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output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intrinsic factor taken proportional to parietal mass (Acid = IF = P). The model structure, its regulatory couplings, the mapped </w:t>
      </w:r>
      <w:proofErr w:type="gramStart"/>
      <w:r>
        <w:rPr>
          <w:color w:val="212121"/>
        </w:rPr>
        <w:t>observables</w:t>
      </w:r>
      <w:proofErr w:type="gramEnd"/>
      <w:r>
        <w:rPr>
          <w:color w:val="212121"/>
        </w:rPr>
        <w:t xml:space="preserve"> and the candidate therapeutic levers are </w:t>
      </w:r>
      <w:proofErr w:type="spellStart"/>
      <w:r>
        <w:rPr>
          <w:color w:val="212121"/>
        </w:rPr>
        <w:t>summarised</w:t>
      </w:r>
      <w:proofErr w:type="spellEnd"/>
      <w:r>
        <w:rPr>
          <w:color w:val="212121"/>
        </w:rPr>
        <w:t xml:space="preserve"> in Figure 1; the full ordinary-differential-equation system and all parameters are provided in the SBML model and supplementary </w:t>
      </w:r>
      <w:r>
        <w:rPr>
          <w:color w:val="212121"/>
          <w:spacing w:val="-2"/>
        </w:rPr>
        <w:t>material.</w:t>
      </w:r>
    </w:p>
    <w:p w14:paraId="542D34F2" w14:textId="77777777" w:rsidR="00C3338F" w:rsidRDefault="00C3338F">
      <w:pPr>
        <w:pStyle w:val="BodyText"/>
        <w:spacing w:line="247" w:lineRule="auto"/>
        <w:sectPr w:rsidR="00C3338F">
          <w:pgSz w:w="12240" w:h="15840"/>
          <w:pgMar w:top="1100" w:right="1080" w:bottom="960" w:left="1440" w:header="691" w:footer="764" w:gutter="0"/>
          <w:cols w:space="720"/>
        </w:sectPr>
      </w:pPr>
    </w:p>
    <w:p w14:paraId="6554FCA8" w14:textId="77777777" w:rsidR="00C3338F" w:rsidRDefault="00C3338F">
      <w:pPr>
        <w:pStyle w:val="BodyText"/>
        <w:spacing w:before="76"/>
        <w:ind w:left="0"/>
        <w:rPr>
          <w:sz w:val="20"/>
        </w:rPr>
      </w:pPr>
    </w:p>
    <w:p w14:paraId="086DA395" w14:textId="77777777" w:rsidR="00C3338F" w:rsidRDefault="00000000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0184E3DD" wp14:editId="622645C3">
            <wp:extent cx="5948135" cy="321868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135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49D7" w14:textId="77777777" w:rsidR="00C3338F" w:rsidRDefault="00000000">
      <w:pPr>
        <w:spacing w:before="100"/>
        <w:ind w:left="27" w:right="407" w:firstLine="1"/>
        <w:jc w:val="center"/>
        <w:rPr>
          <w:i/>
          <w:sz w:val="17"/>
        </w:rPr>
      </w:pPr>
      <w:r>
        <w:rPr>
          <w:i/>
          <w:color w:val="545454"/>
          <w:sz w:val="17"/>
        </w:rPr>
        <w:t>Figure 1. AIG-VHT model schematic. Corpus module (parietal mass P, ECL cells, autoreactive Teff, regulatory Treg) and circulation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module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(autoantibody,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gastrin,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B12,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iron).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Parietal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cells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are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both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immune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target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and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antigen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source,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making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the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autoimmune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loop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self-limiting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as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atrophy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advances;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loss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of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parietal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(acid/</w:t>
      </w:r>
      <w:proofErr w:type="gramStart"/>
      <w:r>
        <w:rPr>
          <w:i/>
          <w:color w:val="545454"/>
          <w:sz w:val="17"/>
        </w:rPr>
        <w:t>intrinsic-factor</w:t>
      </w:r>
      <w:proofErr w:type="gramEnd"/>
      <w:r>
        <w:rPr>
          <w:i/>
          <w:color w:val="545454"/>
          <w:sz w:val="17"/>
        </w:rPr>
        <w:t>)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output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releases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gastrin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negative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feedback,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and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gastrin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is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trophic</w:t>
      </w:r>
      <w:r>
        <w:rPr>
          <w:i/>
          <w:color w:val="545454"/>
          <w:spacing w:val="-1"/>
          <w:sz w:val="17"/>
        </w:rPr>
        <w:t xml:space="preserve"> </w:t>
      </w:r>
      <w:r>
        <w:rPr>
          <w:i/>
          <w:color w:val="545454"/>
          <w:sz w:val="17"/>
        </w:rPr>
        <w:t>for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ECL cells. Solid arrows = activation/flux; bracketed heads = inhibition; green tags = therapeutic levers (low-dose IL-2, antigen-specific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 xml:space="preserve">tolerance, </w:t>
      </w:r>
      <w:proofErr w:type="spellStart"/>
      <w:r>
        <w:rPr>
          <w:i/>
          <w:color w:val="545454"/>
          <w:sz w:val="17"/>
        </w:rPr>
        <w:t>netazepide</w:t>
      </w:r>
      <w:proofErr w:type="spellEnd"/>
      <w:r>
        <w:rPr>
          <w:i/>
          <w:color w:val="545454"/>
          <w:sz w:val="17"/>
        </w:rPr>
        <w:t>, CAAR-T, parenteral B12/iron); dashed blue badges = measured observables (serum gastrin, chromogranin A as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 xml:space="preserve">an ECL proxy, anti-parietal antibody </w:t>
      </w:r>
      <w:proofErr w:type="spellStart"/>
      <w:r>
        <w:rPr>
          <w:i/>
          <w:color w:val="545454"/>
          <w:sz w:val="17"/>
        </w:rPr>
        <w:t>titre</w:t>
      </w:r>
      <w:proofErr w:type="spellEnd"/>
      <w:r>
        <w:rPr>
          <w:i/>
          <w:color w:val="545454"/>
          <w:sz w:val="17"/>
        </w:rPr>
        <w:t>, vitamin B12).</w:t>
      </w:r>
    </w:p>
    <w:p w14:paraId="5802BE95" w14:textId="77777777" w:rsidR="00C3338F" w:rsidRDefault="00000000">
      <w:pPr>
        <w:pStyle w:val="BodyText"/>
        <w:spacing w:before="174" w:line="247" w:lineRule="auto"/>
        <w:ind w:right="378"/>
      </w:pP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structural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feature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worth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naming: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because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parietal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cells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both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immune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target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antigen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source (P appears in the Teff priming term), the autoimmune loop is self-limiting as atrophy advances — an emergent property consistent with burnt-out late AIG.</w:t>
      </w:r>
    </w:p>
    <w:p w14:paraId="7C562F2B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ind w:left="359" w:hanging="358"/>
      </w:pPr>
      <w:r>
        <w:rPr>
          <w:color w:val="0E6EC3"/>
        </w:rPr>
        <w:t>Data</w:t>
      </w:r>
      <w:r>
        <w:rPr>
          <w:color w:val="0E6EC3"/>
          <w:spacing w:val="-5"/>
        </w:rPr>
        <w:t xml:space="preserve"> </w:t>
      </w:r>
      <w:r>
        <w:rPr>
          <w:color w:val="0E6EC3"/>
        </w:rPr>
        <w:t>sources</w:t>
      </w:r>
      <w:r>
        <w:rPr>
          <w:color w:val="0E6EC3"/>
          <w:spacing w:val="-5"/>
        </w:rPr>
        <w:t xml:space="preserve"> </w:t>
      </w:r>
      <w:r>
        <w:rPr>
          <w:color w:val="0E6EC3"/>
        </w:rPr>
        <w:t>and</w:t>
      </w:r>
      <w:r>
        <w:rPr>
          <w:color w:val="0E6EC3"/>
          <w:spacing w:val="-4"/>
        </w:rPr>
        <w:t xml:space="preserve"> </w:t>
      </w:r>
      <w:proofErr w:type="spellStart"/>
      <w:r>
        <w:rPr>
          <w:color w:val="0E6EC3"/>
          <w:spacing w:val="-2"/>
        </w:rPr>
        <w:t>digitisation</w:t>
      </w:r>
      <w:proofErr w:type="spellEnd"/>
    </w:p>
    <w:p w14:paraId="115C8B0C" w14:textId="77777777" w:rsidR="00C3338F" w:rsidRDefault="00000000">
      <w:pPr>
        <w:pStyle w:val="BodyText"/>
        <w:spacing w:line="247" w:lineRule="auto"/>
        <w:ind w:right="400"/>
      </w:pPr>
      <w:r>
        <w:rPr>
          <w:color w:val="212121"/>
        </w:rPr>
        <w:t xml:space="preserve">Published cohort means were </w:t>
      </w:r>
      <w:proofErr w:type="spellStart"/>
      <w:r>
        <w:rPr>
          <w:color w:val="212121"/>
        </w:rPr>
        <w:t>digitised</w:t>
      </w:r>
      <w:proofErr w:type="spellEnd"/>
      <w:r>
        <w:rPr>
          <w:color w:val="212121"/>
        </w:rPr>
        <w:t xml:space="preserve"> as steady-state anchors along a parietal-mass severity axis: serum gastrin from control (~46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 xml:space="preserve">/mL) through PCA⁺ atrophic (~476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 xml:space="preserve">/mL) and pernicious </w:t>
      </w:r>
      <w:proofErr w:type="spellStart"/>
      <w:r>
        <w:rPr>
          <w:color w:val="212121"/>
        </w:rPr>
        <w:t>anaemia</w:t>
      </w:r>
      <w:proofErr w:type="spellEnd"/>
      <w:r>
        <w:rPr>
          <w:color w:val="212121"/>
        </w:rPr>
        <w:t xml:space="preserve"> (~699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/mL) 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AIG-with-neoplasia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ranges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(weighted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~812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individual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cohort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means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~1400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/mL);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stratified by ECL status (~171 ng/mL without vs ~303 ng/mL with hyperplasia; ECL⁺ threshold ~183 ng/mL); and B12 spanning mid-normal to deficiency (&lt;200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 xml:space="preserve">/mL). A diagnostic gastrin threshold of 355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 xml:space="preserve">/mL anchors the mid-severity region. Data are cross-sectional; no per-patient trajectories or synthetic trial arms were used or </w:t>
      </w:r>
      <w:r>
        <w:rPr>
          <w:color w:val="212121"/>
          <w:spacing w:val="-2"/>
        </w:rPr>
        <w:t>generated.</w:t>
      </w:r>
    </w:p>
    <w:p w14:paraId="264EF9BE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ind w:left="359" w:hanging="358"/>
      </w:pPr>
      <w:r>
        <w:rPr>
          <w:color w:val="0E6EC3"/>
        </w:rPr>
        <w:t>Calibration</w:t>
      </w:r>
      <w:r>
        <w:rPr>
          <w:color w:val="0E6EC3"/>
          <w:spacing w:val="-13"/>
        </w:rPr>
        <w:t xml:space="preserve"> </w:t>
      </w:r>
      <w:r>
        <w:rPr>
          <w:color w:val="0E6EC3"/>
        </w:rPr>
        <w:t>and</w:t>
      </w:r>
      <w:r>
        <w:rPr>
          <w:color w:val="0E6EC3"/>
          <w:spacing w:val="-12"/>
        </w:rPr>
        <w:t xml:space="preserve"> </w:t>
      </w:r>
      <w:r>
        <w:rPr>
          <w:color w:val="0E6EC3"/>
          <w:spacing w:val="-2"/>
        </w:rPr>
        <w:t>identifiability</w:t>
      </w:r>
    </w:p>
    <w:p w14:paraId="3ECFB235" w14:textId="77777777" w:rsidR="00C3338F" w:rsidRDefault="00000000">
      <w:pPr>
        <w:pStyle w:val="BodyText"/>
        <w:spacing w:before="75" w:line="235" w:lineRule="auto"/>
        <w:ind w:right="378"/>
      </w:pPr>
      <w:r>
        <w:rPr>
          <w:color w:val="212121"/>
        </w:rPr>
        <w:t xml:space="preserve">Steady-state observable functions (gastrin(P), </w:t>
      </w:r>
      <w:proofErr w:type="spellStart"/>
      <w:r>
        <w:rPr>
          <w:color w:val="212121"/>
        </w:rPr>
        <w:t>CgA</w:t>
      </w:r>
      <w:r>
        <w:rPr>
          <w:rFonts w:ascii="Lucida Sans Unicode" w:hAnsi="Lucida Sans Unicode"/>
          <w:color w:val="212121"/>
        </w:rPr>
        <w:t>∝</w:t>
      </w:r>
      <w:r>
        <w:rPr>
          <w:color w:val="212121"/>
        </w:rPr>
        <w:t>ECL</w:t>
      </w:r>
      <w:proofErr w:type="spellEnd"/>
      <w:r>
        <w:rPr>
          <w:color w:val="212121"/>
        </w:rPr>
        <w:t>(P), B12(P)) were fit by weighted least squares (weights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reported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15–25%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mean).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Immune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parameters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were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held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literature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priors;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the autoantibody arm was therefore predicted, not fitted (single output scale only). Identifiability used profile </w:t>
      </w:r>
      <w:proofErr w:type="gramStart"/>
      <w:r>
        <w:rPr>
          <w:color w:val="212121"/>
          <w:spacing w:val="-2"/>
        </w:rPr>
        <w:t>likelihood</w:t>
      </w:r>
      <w:proofErr w:type="gramEnd"/>
    </w:p>
    <w:p w14:paraId="40F48055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spacing w:before="181"/>
        <w:ind w:left="359" w:hanging="358"/>
      </w:pPr>
      <w:r>
        <w:rPr>
          <w:color w:val="0E6EC3"/>
        </w:rPr>
        <w:t>Software</w:t>
      </w:r>
      <w:r>
        <w:rPr>
          <w:color w:val="0E6EC3"/>
          <w:spacing w:val="-10"/>
        </w:rPr>
        <w:t xml:space="preserve"> </w:t>
      </w:r>
      <w:r>
        <w:rPr>
          <w:color w:val="0E6EC3"/>
        </w:rPr>
        <w:t>and</w:t>
      </w:r>
      <w:r>
        <w:rPr>
          <w:color w:val="0E6EC3"/>
          <w:spacing w:val="-9"/>
        </w:rPr>
        <w:t xml:space="preserve"> </w:t>
      </w:r>
      <w:r>
        <w:rPr>
          <w:color w:val="0E6EC3"/>
          <w:spacing w:val="-2"/>
        </w:rPr>
        <w:t>reproducibility</w:t>
      </w:r>
    </w:p>
    <w:p w14:paraId="7EEC17FD" w14:textId="77777777" w:rsidR="00C3338F" w:rsidRDefault="00000000">
      <w:pPr>
        <w:pStyle w:val="BodyText"/>
        <w:spacing w:line="247" w:lineRule="auto"/>
        <w:ind w:right="675"/>
      </w:pP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was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encoded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SBML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L3V2</w:t>
      </w:r>
      <w:r>
        <w:rPr>
          <w:color w:val="212121"/>
          <w:spacing w:val="-1"/>
        </w:rPr>
        <w:t xml:space="preserve"> </w:t>
      </w:r>
      <w:r>
        <w:rPr>
          <w:color w:val="0E6EC3"/>
        </w:rPr>
        <w:t>[14]</w:t>
      </w:r>
      <w:r>
        <w:rPr>
          <w:color w:val="0E6EC3"/>
          <w:spacing w:val="-3"/>
        </w:rPr>
        <w:t xml:space="preserve"> </w:t>
      </w:r>
      <w:r>
        <w:rPr>
          <w:color w:val="212121"/>
        </w:rPr>
        <w:t>(</w:t>
      </w:r>
      <w:proofErr w:type="spellStart"/>
      <w:r>
        <w:rPr>
          <w:color w:val="212121"/>
        </w:rPr>
        <w:t>libSBML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5.21;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zero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fatal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validation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errors),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consistent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our SBML-</w:t>
      </w:r>
      <w:proofErr w:type="spellStart"/>
      <w:r>
        <w:rPr>
          <w:color w:val="212121"/>
        </w:rPr>
        <w:t>standardised</w:t>
      </w:r>
      <w:proofErr w:type="spellEnd"/>
      <w:r>
        <w:rPr>
          <w:color w:val="212121"/>
        </w:rPr>
        <w:t xml:space="preserve"> systems-biology infrastructure </w:t>
      </w:r>
      <w:r>
        <w:rPr>
          <w:color w:val="0E6EC3"/>
        </w:rPr>
        <w:t>[12]</w:t>
      </w:r>
      <w:r>
        <w:rPr>
          <w:color w:val="212121"/>
        </w:rPr>
        <w:t xml:space="preserve">; simulation used </w:t>
      </w:r>
      <w:proofErr w:type="spellStart"/>
      <w:r>
        <w:rPr>
          <w:color w:val="212121"/>
        </w:rPr>
        <w:t>libRoadRunner</w:t>
      </w:r>
      <w:proofErr w:type="spellEnd"/>
      <w:r>
        <w:rPr>
          <w:color w:val="212121"/>
        </w:rPr>
        <w:t xml:space="preserve"> 2.9 </w:t>
      </w:r>
      <w:r>
        <w:rPr>
          <w:color w:val="0E6EC3"/>
        </w:rPr>
        <w:t>[15]</w:t>
      </w:r>
      <w:r>
        <w:rPr>
          <w:color w:val="212121"/>
        </w:rPr>
        <w:t xml:space="preserve">, with calibration and profiling in SciPy, following the AI-QSP surrogate-modelling and digital-twin </w:t>
      </w:r>
      <w:proofErr w:type="gramStart"/>
      <w:r>
        <w:rPr>
          <w:color w:val="212121"/>
        </w:rPr>
        <w:t>methodology</w:t>
      </w:r>
      <w:proofErr w:type="gramEnd"/>
    </w:p>
    <w:p w14:paraId="42614051" w14:textId="77777777" w:rsidR="00C3338F" w:rsidRDefault="00C3338F">
      <w:pPr>
        <w:pStyle w:val="BodyText"/>
        <w:spacing w:line="247" w:lineRule="auto"/>
        <w:sectPr w:rsidR="00C3338F">
          <w:pgSz w:w="12240" w:h="15840"/>
          <w:pgMar w:top="1100" w:right="1080" w:bottom="960" w:left="1440" w:header="691" w:footer="764" w:gutter="0"/>
          <w:cols w:space="720"/>
        </w:sectPr>
      </w:pPr>
    </w:p>
    <w:p w14:paraId="27ED4390" w14:textId="77777777" w:rsidR="00C3338F" w:rsidRDefault="00000000">
      <w:pPr>
        <w:pStyle w:val="BodyText"/>
        <w:spacing w:line="247" w:lineRule="auto"/>
        <w:ind w:right="400"/>
      </w:pPr>
      <w:r>
        <w:rPr>
          <w:color w:val="212121"/>
        </w:rPr>
        <w:lastRenderedPageBreak/>
        <w:t>described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previously</w:t>
      </w:r>
      <w:r>
        <w:rPr>
          <w:color w:val="212121"/>
          <w:spacing w:val="-3"/>
        </w:rPr>
        <w:t xml:space="preserve"> </w:t>
      </w:r>
      <w:r>
        <w:rPr>
          <w:color w:val="0E6EC3"/>
        </w:rPr>
        <w:t>[11]</w:t>
      </w:r>
      <w:r>
        <w:rPr>
          <w:color w:val="212121"/>
        </w:rPr>
        <w:t>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full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COMBINE/OMEX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archive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accompanies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preprint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SHA-256 </w:t>
      </w:r>
      <w:r>
        <w:rPr>
          <w:color w:val="212121"/>
          <w:spacing w:val="-2"/>
        </w:rPr>
        <w:t>manifest.</w:t>
      </w:r>
    </w:p>
    <w:p w14:paraId="5445A083" w14:textId="77777777" w:rsidR="00C3338F" w:rsidRDefault="00000000">
      <w:pPr>
        <w:pStyle w:val="Heading2"/>
        <w:numPr>
          <w:ilvl w:val="0"/>
          <w:numId w:val="2"/>
        </w:numPr>
        <w:tabs>
          <w:tab w:val="left" w:pos="279"/>
        </w:tabs>
        <w:ind w:left="279" w:hanging="278"/>
      </w:pPr>
      <w:r>
        <w:rPr>
          <w:color w:val="19192D"/>
          <w:spacing w:val="-2"/>
        </w:rPr>
        <w:t>Results</w:t>
      </w:r>
    </w:p>
    <w:p w14:paraId="0E2B9A15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spacing w:before="181"/>
        <w:ind w:left="359" w:hanging="358"/>
      </w:pPr>
      <w:r>
        <w:rPr>
          <w:color w:val="0E6EC3"/>
          <w:spacing w:val="-2"/>
        </w:rPr>
        <w:t>Calibration</w:t>
      </w:r>
    </w:p>
    <w:p w14:paraId="39C2DEF6" w14:textId="77777777" w:rsidR="00C3338F" w:rsidRDefault="00000000">
      <w:pPr>
        <w:pStyle w:val="BodyText"/>
        <w:spacing w:before="100" w:line="247" w:lineRule="auto"/>
        <w:ind w:right="400"/>
      </w:pPr>
      <w:r>
        <w:rPr>
          <w:color w:val="212121"/>
        </w:rPr>
        <w:t xml:space="preserve">The gastrin,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 xml:space="preserve"> and B12 arms were reproduced with an overall log-RMSE of 0.16 (gastrin RMSE 91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 over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46–900;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  <w:spacing w:val="-3"/>
        </w:rPr>
        <w:t xml:space="preserve"> </w:t>
      </w:r>
      <w:r>
        <w:rPr>
          <w:color w:val="212121"/>
        </w:rPr>
        <w:t>98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ng/mL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over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40–450;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B12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74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over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150–500).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calibrated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gastrin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response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 sharp acid-feedback switch: near-normal until parietal mass falls below a threshold, then a steep rise to a ceiling consistent with pernicious-</w:t>
      </w:r>
      <w:proofErr w:type="spellStart"/>
      <w:r>
        <w:rPr>
          <w:color w:val="212121"/>
        </w:rPr>
        <w:t>anaemia</w:t>
      </w:r>
      <w:proofErr w:type="spellEnd"/>
      <w:r>
        <w:rPr>
          <w:color w:val="212121"/>
        </w:rPr>
        <w:t xml:space="preserve">-level </w:t>
      </w:r>
      <w:proofErr w:type="spellStart"/>
      <w:r>
        <w:rPr>
          <w:color w:val="212121"/>
        </w:rPr>
        <w:t>hypergastrinaemia</w:t>
      </w:r>
      <w:proofErr w:type="spellEnd"/>
      <w:r>
        <w:rPr>
          <w:color w:val="212121"/>
        </w:rPr>
        <w:t>.</w:t>
      </w:r>
    </w:p>
    <w:p w14:paraId="03F05A37" w14:textId="77777777" w:rsidR="00C3338F" w:rsidRDefault="00000000">
      <w:pPr>
        <w:pStyle w:val="BodyText"/>
        <w:spacing w:before="0"/>
        <w:ind w:left="0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88864" behindDoc="1" locked="0" layoutInCell="1" allowOverlap="1" wp14:anchorId="714F37AF" wp14:editId="071824D2">
            <wp:simplePos x="0" y="0"/>
            <wp:positionH relativeFrom="page">
              <wp:posOffset>957827</wp:posOffset>
            </wp:positionH>
            <wp:positionV relativeFrom="paragraph">
              <wp:posOffset>70099</wp:posOffset>
            </wp:positionV>
            <wp:extent cx="5850247" cy="366064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247" cy="3660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1911A" w14:textId="77777777" w:rsidR="00C3338F" w:rsidRDefault="00000000">
      <w:pPr>
        <w:spacing w:before="114"/>
        <w:ind w:left="4" w:right="383"/>
        <w:jc w:val="center"/>
        <w:rPr>
          <w:i/>
          <w:sz w:val="17"/>
        </w:rPr>
      </w:pPr>
      <w:r>
        <w:rPr>
          <w:i/>
          <w:color w:val="545454"/>
          <w:sz w:val="17"/>
        </w:rPr>
        <w:t>Figure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2.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(A–C)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Calibrated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steady-state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fits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through</w:t>
      </w:r>
      <w:r>
        <w:rPr>
          <w:i/>
          <w:color w:val="545454"/>
          <w:spacing w:val="-3"/>
          <w:sz w:val="17"/>
        </w:rPr>
        <w:t xml:space="preserve"> </w:t>
      </w:r>
      <w:proofErr w:type="spellStart"/>
      <w:r>
        <w:rPr>
          <w:i/>
          <w:color w:val="545454"/>
          <w:sz w:val="17"/>
        </w:rPr>
        <w:t>digitised</w:t>
      </w:r>
      <w:proofErr w:type="spellEnd"/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literature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cohort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means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for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gastrin,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chromogranin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(as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an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ECL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proxy)</w:t>
      </w:r>
      <w:r>
        <w:rPr>
          <w:i/>
          <w:color w:val="545454"/>
          <w:spacing w:val="-3"/>
          <w:sz w:val="17"/>
        </w:rPr>
        <w:t xml:space="preserve"> </w:t>
      </w:r>
      <w:r>
        <w:rPr>
          <w:i/>
          <w:color w:val="545454"/>
          <w:sz w:val="17"/>
        </w:rPr>
        <w:t>and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vitamin B12 along the parietal-mass severity axis (lower P = more severe atrophy); the B12 fit is solid over the observed range and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dashed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where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extrapolated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below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it.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(D)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APCA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predicted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with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fixed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immune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priors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(predicted,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not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fitted):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the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N-of-1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case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(red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star,</w:t>
      </w:r>
      <w:r>
        <w:rPr>
          <w:i/>
          <w:color w:val="545454"/>
          <w:spacing w:val="-2"/>
          <w:sz w:val="17"/>
        </w:rPr>
        <w:t xml:space="preserve"> </w:t>
      </w:r>
      <w:r>
        <w:rPr>
          <w:i/>
          <w:color w:val="545454"/>
          <w:sz w:val="17"/>
        </w:rPr>
        <w:t>103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 xml:space="preserve">U/mL) is reproduced (98 U/mL) but the cohort severity trend is not. (E) Identifiable parameters (Ka, </w:t>
      </w:r>
      <w:proofErr w:type="spellStart"/>
      <w:r>
        <w:rPr>
          <w:i/>
          <w:color w:val="545454"/>
          <w:sz w:val="17"/>
        </w:rPr>
        <w:t>G_max</w:t>
      </w:r>
      <w:proofErr w:type="spellEnd"/>
      <w:r>
        <w:rPr>
          <w:i/>
          <w:color w:val="545454"/>
          <w:sz w:val="17"/>
        </w:rPr>
        <w:t>, B12 scale); dashed line =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95% threshold (min cost + 1.92). (F) Weakly/non-identifiable ECL-hyperplasia parameters — profile optima drift to the parameter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>boundary rather than forming an interior minimum.</w:t>
      </w:r>
    </w:p>
    <w:p w14:paraId="3AE850DC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spacing w:before="183"/>
        <w:ind w:left="359" w:hanging="358"/>
      </w:pPr>
      <w:r>
        <w:rPr>
          <w:color w:val="0E6EC3"/>
          <w:spacing w:val="-2"/>
        </w:rPr>
        <w:t>Identifiability</w:t>
      </w:r>
    </w:p>
    <w:p w14:paraId="7D72ED85" w14:textId="77777777" w:rsidR="00C3338F" w:rsidRDefault="00000000">
      <w:pPr>
        <w:pStyle w:val="BodyText"/>
        <w:spacing w:line="247" w:lineRule="auto"/>
        <w:ind w:right="67"/>
      </w:pPr>
      <w:r>
        <w:rPr>
          <w:color w:val="212121"/>
        </w:rPr>
        <w:t>Profile likelihood separates what the data constrain from what they cannot constrain. The acid-feedback threshold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well-identified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(95%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0.43–0.58).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gastrin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ceiling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(~600–900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pg</w:t>
      </w:r>
      <w:proofErr w:type="spellEnd"/>
      <w:r>
        <w:rPr>
          <w:color w:val="212121"/>
        </w:rPr>
        <w:t>/mL)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B12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scale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are moderately identified. The acid-feedback steepness saturates — a sharp switch (Hill ≥ 4.3) is required but its exact value is not fixed. The ECL-hyperplasia parameters are non-identifiable from cross-sectional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>: their profile optima drift to the parameter boundary rather than forming an interior minimum. The actionable implication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specific: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neoplastic-risk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arm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cannot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parameterised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cross-sectional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requires longitudinal 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 xml:space="preserve"> trajectories or direct ECL histological counts.</w:t>
      </w:r>
    </w:p>
    <w:p w14:paraId="3D0F1335" w14:textId="77777777" w:rsidR="00C3338F" w:rsidRDefault="00C3338F">
      <w:pPr>
        <w:pStyle w:val="BodyText"/>
        <w:spacing w:line="247" w:lineRule="auto"/>
        <w:sectPr w:rsidR="00C3338F">
          <w:pgSz w:w="12240" w:h="15840"/>
          <w:pgMar w:top="1100" w:right="1080" w:bottom="960" w:left="1440" w:header="691" w:footer="764" w:gutter="0"/>
          <w:cols w:space="720"/>
        </w:sectPr>
      </w:pPr>
    </w:p>
    <w:p w14:paraId="0660B6E4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spacing w:before="91"/>
        <w:ind w:left="359" w:hanging="358"/>
      </w:pPr>
      <w:r>
        <w:rPr>
          <w:color w:val="0E6EC3"/>
        </w:rPr>
        <w:lastRenderedPageBreak/>
        <w:t>The</w:t>
      </w:r>
      <w:r>
        <w:rPr>
          <w:color w:val="0E6EC3"/>
          <w:spacing w:val="-10"/>
        </w:rPr>
        <w:t xml:space="preserve"> </w:t>
      </w:r>
      <w:r>
        <w:rPr>
          <w:color w:val="0E6EC3"/>
        </w:rPr>
        <w:t>N-of-1-to-cohort</w:t>
      </w:r>
      <w:r>
        <w:rPr>
          <w:color w:val="0E6EC3"/>
          <w:spacing w:val="-9"/>
        </w:rPr>
        <w:t xml:space="preserve"> </w:t>
      </w:r>
      <w:r>
        <w:rPr>
          <w:color w:val="0E6EC3"/>
          <w:spacing w:val="-2"/>
        </w:rPr>
        <w:t>bridge</w:t>
      </w:r>
    </w:p>
    <w:p w14:paraId="47550C1D" w14:textId="77777777" w:rsidR="00C3338F" w:rsidRDefault="00000000">
      <w:pPr>
        <w:pStyle w:val="BodyText"/>
        <w:spacing w:before="100" w:line="247" w:lineRule="auto"/>
        <w:ind w:right="423"/>
      </w:pPr>
      <w:r>
        <w:rPr>
          <w:color w:val="212121"/>
        </w:rPr>
        <w:t xml:space="preserve">With immune parameters fixed at priors, the model predicts the antibody </w:t>
      </w:r>
      <w:proofErr w:type="spellStart"/>
      <w:r>
        <w:rPr>
          <w:color w:val="212121"/>
        </w:rPr>
        <w:t>titre</w:t>
      </w:r>
      <w:proofErr w:type="spellEnd"/>
      <w:r>
        <w:rPr>
          <w:color w:val="212121"/>
        </w:rPr>
        <w:t xml:space="preserve"> of a single early-active case (near-normal parietal mass, APCA 103 U/mL) almost exactly (98 U/mL), yet predicts a declining APCA with advancing atrophy, opposite to the </w:t>
      </w:r>
      <w:proofErr w:type="gramStart"/>
      <w:r>
        <w:rPr>
          <w:color w:val="212121"/>
        </w:rPr>
        <w:t>loosely-reported</w:t>
      </w:r>
      <w:proofErr w:type="gramEnd"/>
      <w:r>
        <w:rPr>
          <w:color w:val="212121"/>
        </w:rPr>
        <w:t xml:space="preserve"> cohort trend. This is a structural diagnosis, not a fitting failure: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antigen-abundance-driven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priming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reproduces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high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titre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early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active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disease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decline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of end-stage burnt-out </w:t>
      </w:r>
      <w:proofErr w:type="gramStart"/>
      <w:r>
        <w:rPr>
          <w:color w:val="212121"/>
        </w:rPr>
        <w:t>disease, but</w:t>
      </w:r>
      <w:proofErr w:type="gramEnd"/>
      <w:r>
        <w:rPr>
          <w:color w:val="212121"/>
        </w:rPr>
        <w:t xml:space="preserve"> omits the clonal-activation/seroconversion term that drives the initial rise. Assay heterogeneity across APCA reports (units vs </w:t>
      </w:r>
      <w:proofErr w:type="spellStart"/>
      <w:r>
        <w:rPr>
          <w:color w:val="212121"/>
        </w:rPr>
        <w:t>titres</w:t>
      </w:r>
      <w:proofErr w:type="spellEnd"/>
      <w:r>
        <w:rPr>
          <w:color w:val="212121"/>
        </w:rPr>
        <w:t>) compounds this and is a genuine data limitation.</w:t>
      </w:r>
    </w:p>
    <w:p w14:paraId="24BE92B9" w14:textId="77777777" w:rsidR="00C3338F" w:rsidRDefault="00000000">
      <w:pPr>
        <w:pStyle w:val="Heading3"/>
        <w:numPr>
          <w:ilvl w:val="1"/>
          <w:numId w:val="2"/>
        </w:numPr>
        <w:tabs>
          <w:tab w:val="left" w:pos="359"/>
        </w:tabs>
        <w:ind w:left="359" w:hanging="358"/>
      </w:pPr>
      <w:r>
        <w:rPr>
          <w:color w:val="0E6EC3"/>
          <w:spacing w:val="-2"/>
        </w:rPr>
        <w:t>Therapeutic</w:t>
      </w:r>
      <w:r>
        <w:rPr>
          <w:color w:val="0E6EC3"/>
          <w:spacing w:val="3"/>
        </w:rPr>
        <w:t xml:space="preserve"> </w:t>
      </w:r>
      <w:r>
        <w:rPr>
          <w:color w:val="0E6EC3"/>
          <w:spacing w:val="-2"/>
        </w:rPr>
        <w:t>scenarios</w:t>
      </w:r>
      <w:r>
        <w:rPr>
          <w:color w:val="0E6EC3"/>
          <w:spacing w:val="4"/>
        </w:rPr>
        <w:t xml:space="preserve"> </w:t>
      </w:r>
      <w:r>
        <w:rPr>
          <w:color w:val="0E6EC3"/>
          <w:spacing w:val="-2"/>
        </w:rPr>
        <w:t>(hypothesis-generating)</w:t>
      </w:r>
    </w:p>
    <w:p w14:paraId="3E0F830C" w14:textId="77777777" w:rsidR="00C3338F" w:rsidRDefault="00000000">
      <w:pPr>
        <w:pStyle w:val="BodyText"/>
        <w:spacing w:line="247" w:lineRule="auto"/>
        <w:ind w:right="400"/>
      </w:pPr>
      <w:r>
        <w:rPr>
          <w:color w:val="212121"/>
        </w:rPr>
        <w:t>Scenario simulations, presented strictly as directions of effect, separate three intervention classes: replacement (parenteral B12, IV iron) corrects the output arms while leaving parietal mass, antibody, gastrin 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unchanged;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gastrin/CCK2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antagonism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</w:t>
      </w:r>
      <w:proofErr w:type="spellStart"/>
      <w:r>
        <w:rPr>
          <w:color w:val="212121"/>
        </w:rPr>
        <w:t>netazepide</w:t>
      </w:r>
      <w:proofErr w:type="spellEnd"/>
      <w:r>
        <w:rPr>
          <w:color w:val="212121"/>
        </w:rPr>
        <w:t>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collapses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ECL/neoplastic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arm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without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altering the autoimmune core; and only immune-directed levers (regulatory-T expansion, antigen-specific tolerance) move parietal mass, with antigen-specific tolerance outperforming broad Treg expansion on the antibody arm. The model further predicts that antibody-directed clearance alone is insufficient without a T-cell-directed arm.</w:t>
      </w:r>
    </w:p>
    <w:p w14:paraId="742333E8" w14:textId="77777777" w:rsidR="00C3338F" w:rsidRDefault="00000000">
      <w:pPr>
        <w:pStyle w:val="BodyText"/>
        <w:spacing w:before="11"/>
        <w:ind w:left="0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89376" behindDoc="1" locked="0" layoutInCell="1" allowOverlap="1" wp14:anchorId="444943A9" wp14:editId="49B58D26">
            <wp:simplePos x="0" y="0"/>
            <wp:positionH relativeFrom="page">
              <wp:posOffset>957840</wp:posOffset>
            </wp:positionH>
            <wp:positionV relativeFrom="paragraph">
              <wp:posOffset>69185</wp:posOffset>
            </wp:positionV>
            <wp:extent cx="5877639" cy="175564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639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B2F3D" w14:textId="77777777" w:rsidR="00C3338F" w:rsidRDefault="00000000">
      <w:pPr>
        <w:spacing w:before="85"/>
        <w:ind w:left="668" w:right="465" w:hanging="580"/>
        <w:rPr>
          <w:i/>
          <w:sz w:val="17"/>
        </w:rPr>
      </w:pPr>
      <w:r>
        <w:rPr>
          <w:i/>
          <w:color w:val="545454"/>
          <w:sz w:val="17"/>
        </w:rPr>
        <w:t>Figure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3.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Hypothesis-generating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therapy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scenarios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(uncalibrated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dynamics).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(A)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Untreated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natural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history.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(B)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Parietal-mass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rescue</w:t>
      </w:r>
      <w:r>
        <w:rPr>
          <w:i/>
          <w:color w:val="545454"/>
          <w:spacing w:val="-4"/>
          <w:sz w:val="17"/>
        </w:rPr>
        <w:t xml:space="preserve"> </w:t>
      </w:r>
      <w:r>
        <w:rPr>
          <w:i/>
          <w:color w:val="545454"/>
          <w:sz w:val="17"/>
        </w:rPr>
        <w:t>by</w:t>
      </w:r>
      <w:r>
        <w:rPr>
          <w:i/>
          <w:color w:val="545454"/>
          <w:spacing w:val="40"/>
          <w:sz w:val="17"/>
        </w:rPr>
        <w:t xml:space="preserve"> </w:t>
      </w:r>
      <w:r>
        <w:rPr>
          <w:i/>
          <w:color w:val="545454"/>
          <w:sz w:val="17"/>
        </w:rPr>
        <w:t xml:space="preserve">immune-directed therapy. (C) Risk-driver endpoints (antibody </w:t>
      </w:r>
      <w:proofErr w:type="spellStart"/>
      <w:r>
        <w:rPr>
          <w:i/>
          <w:color w:val="545454"/>
          <w:sz w:val="17"/>
        </w:rPr>
        <w:t>titre</w:t>
      </w:r>
      <w:proofErr w:type="spellEnd"/>
      <w:r>
        <w:rPr>
          <w:i/>
          <w:color w:val="545454"/>
          <w:sz w:val="17"/>
        </w:rPr>
        <w:t>, ECL mass) at 10 years across intervention classes.</w:t>
      </w:r>
    </w:p>
    <w:p w14:paraId="479FF6A0" w14:textId="77777777" w:rsidR="00C3338F" w:rsidRDefault="00C3338F">
      <w:pPr>
        <w:pStyle w:val="BodyText"/>
        <w:spacing w:before="54"/>
        <w:ind w:left="0"/>
        <w:rPr>
          <w:i/>
          <w:sz w:val="17"/>
        </w:rPr>
      </w:pPr>
    </w:p>
    <w:p w14:paraId="5EC52C31" w14:textId="77777777" w:rsidR="00C3338F" w:rsidRDefault="00000000">
      <w:pPr>
        <w:pStyle w:val="Heading2"/>
        <w:numPr>
          <w:ilvl w:val="0"/>
          <w:numId w:val="2"/>
        </w:numPr>
        <w:tabs>
          <w:tab w:val="left" w:pos="279"/>
        </w:tabs>
        <w:spacing w:before="0"/>
        <w:ind w:left="279" w:hanging="278"/>
      </w:pPr>
      <w:r>
        <w:rPr>
          <w:color w:val="19192D"/>
          <w:spacing w:val="-2"/>
        </w:rPr>
        <w:t>Discussion</w:t>
      </w:r>
    </w:p>
    <w:p w14:paraId="4D3D4C5C" w14:textId="77777777" w:rsidR="00C3338F" w:rsidRDefault="00000000">
      <w:pPr>
        <w:pStyle w:val="BodyText"/>
        <w:spacing w:before="131" w:line="247" w:lineRule="auto"/>
        <w:ind w:right="400"/>
      </w:pP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transparent,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gated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pipeline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produced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executable,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literature-anchored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AIG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cascade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and, through profile likelihood, an explicit map of parameter identifiability that converts uncertainty into an experimental agenda.</w:t>
      </w:r>
    </w:p>
    <w:p w14:paraId="43A7493A" w14:textId="77777777" w:rsidR="00C3338F" w:rsidRDefault="00000000">
      <w:pPr>
        <w:pStyle w:val="BodyText"/>
        <w:spacing w:before="119" w:line="247" w:lineRule="auto"/>
        <w:ind w:right="536"/>
      </w:pPr>
      <w:r>
        <w:rPr>
          <w:color w:val="212121"/>
        </w:rPr>
        <w:t>Two rate-law errors were caught by the pipeline's fidelity gates during assembly — an inverted gastrin-feedback steady state and an antibody scale an order of magnitude below the clinical range; both were corrected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re-verified.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antibody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arm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remains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structurally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incomplete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activation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term),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 N-of-1 analysis exposes.</w:t>
      </w:r>
    </w:p>
    <w:p w14:paraId="03B10DD1" w14:textId="77777777" w:rsidR="00C3338F" w:rsidRDefault="00000000">
      <w:pPr>
        <w:pStyle w:val="BodyText"/>
        <w:spacing w:before="120" w:line="247" w:lineRule="auto"/>
        <w:ind w:right="516"/>
      </w:pPr>
      <w:r>
        <w:rPr>
          <w:color w:val="212121"/>
        </w:rPr>
        <w:t>The ECL non-identifiability and the antibody trend reversal are structural, not parametric; no amount of fitting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cross-sectional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resolves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them.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system,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binding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constraint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identifiability.</w:t>
      </w:r>
    </w:p>
    <w:p w14:paraId="3A6BB2F0" w14:textId="77777777" w:rsidR="00C3338F" w:rsidRDefault="00000000">
      <w:pPr>
        <w:pStyle w:val="BodyText"/>
        <w:spacing w:before="120" w:line="247" w:lineRule="auto"/>
        <w:ind w:right="919"/>
      </w:pPr>
      <w:r>
        <w:rPr>
          <w:color w:val="212121"/>
        </w:rPr>
        <w:t>Tier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(surrogate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cross-sectional-calibrated)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gastrin/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>/B12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steady-state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observables;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Tier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0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/ hypothesis-generating for all dynamics and therapy — a distinction consistent with model-credibility frameworks </w:t>
      </w:r>
      <w:r>
        <w:rPr>
          <w:color w:val="0E6EC3"/>
        </w:rPr>
        <w:t xml:space="preserve">[16] </w:t>
      </w:r>
      <w:r>
        <w:rPr>
          <w:color w:val="212121"/>
        </w:rPr>
        <w:t xml:space="preserve">and current AI-QSP validation guidance </w:t>
      </w:r>
      <w:r>
        <w:rPr>
          <w:color w:val="0E6EC3"/>
        </w:rPr>
        <w:t>[11]</w:t>
      </w:r>
      <w:r>
        <w:rPr>
          <w:color w:val="212121"/>
        </w:rPr>
        <w:t>. No clinical or regulatory claim is made.</w:t>
      </w:r>
    </w:p>
    <w:p w14:paraId="50BC7AE0" w14:textId="77777777" w:rsidR="00C3338F" w:rsidRDefault="00000000">
      <w:pPr>
        <w:pStyle w:val="BodyText"/>
        <w:spacing w:before="120" w:line="247" w:lineRule="auto"/>
        <w:ind w:right="400"/>
      </w:pPr>
      <w:r>
        <w:rPr>
          <w:b/>
          <w:color w:val="212121"/>
        </w:rPr>
        <w:t xml:space="preserve">What this model can and cannot claim. </w:t>
      </w:r>
      <w:r>
        <w:rPr>
          <w:color w:val="212121"/>
        </w:rPr>
        <w:t>The model supports steady-state biomarker interpretation, identifiability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analysis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experimental-design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prioritisation</w:t>
      </w:r>
      <w:proofErr w:type="spellEnd"/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does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support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clinical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diagnosis,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treatment selection, patient-specific prognosis or validated digital-twin use.</w:t>
      </w:r>
    </w:p>
    <w:p w14:paraId="69C2CD79" w14:textId="77777777" w:rsidR="00C3338F" w:rsidRDefault="00C3338F">
      <w:pPr>
        <w:pStyle w:val="BodyText"/>
        <w:spacing w:line="247" w:lineRule="auto"/>
        <w:sectPr w:rsidR="00C3338F">
          <w:pgSz w:w="12240" w:h="15840"/>
          <w:pgMar w:top="1100" w:right="1080" w:bottom="960" w:left="1440" w:header="691" w:footer="764" w:gutter="0"/>
          <w:cols w:space="720"/>
        </w:sectPr>
      </w:pPr>
    </w:p>
    <w:p w14:paraId="71517C96" w14:textId="77777777" w:rsidR="00C3338F" w:rsidRDefault="00000000">
      <w:pPr>
        <w:pStyle w:val="BodyText"/>
        <w:spacing w:line="247" w:lineRule="auto"/>
        <w:ind w:right="378"/>
      </w:pPr>
      <w:r>
        <w:rPr>
          <w:color w:val="212121"/>
        </w:rPr>
        <w:lastRenderedPageBreak/>
        <w:t>Single-organ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scope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(thyroid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exogenous);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parietal-mass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proxy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stands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true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temporal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axis;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parietal regeneration assumed reversible; APCA assays heterogeneous; calibration to cross-sectional cohort means, not patient-level trajectories.</w:t>
      </w:r>
    </w:p>
    <w:p w14:paraId="5E257A54" w14:textId="77777777" w:rsidR="00C3338F" w:rsidRDefault="00000000">
      <w:pPr>
        <w:pStyle w:val="BodyText"/>
        <w:spacing w:before="120" w:line="247" w:lineRule="auto"/>
        <w:ind w:right="378"/>
      </w:pPr>
      <w:r>
        <w:rPr>
          <w:color w:val="212121"/>
        </w:rPr>
        <w:t>Longitudinal cohorts with paired gastrin/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>/APCA/B12 and histology would enable dynamic calibration and could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model's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falsifiable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predictions: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self-limiting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autoimmune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drive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advancing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atrophy;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early therapeutic window for regulatory-T-directed intervention; </w:t>
      </w:r>
      <w:proofErr w:type="spellStart"/>
      <w:r>
        <w:rPr>
          <w:color w:val="212121"/>
        </w:rPr>
        <w:t>netazepide</w:t>
      </w:r>
      <w:proofErr w:type="spellEnd"/>
      <w:r>
        <w:rPr>
          <w:color w:val="212121"/>
        </w:rPr>
        <w:t xml:space="preserve"> reducing ECL/</w:t>
      </w:r>
      <w:proofErr w:type="spellStart"/>
      <w:r>
        <w:rPr>
          <w:color w:val="212121"/>
        </w:rPr>
        <w:t>CgA</w:t>
      </w:r>
      <w:proofErr w:type="spellEnd"/>
      <w:r>
        <w:rPr>
          <w:color w:val="212121"/>
        </w:rPr>
        <w:t xml:space="preserve"> without altering </w:t>
      </w:r>
      <w:proofErr w:type="spellStart"/>
      <w:r>
        <w:rPr>
          <w:color w:val="212121"/>
        </w:rPr>
        <w:t>titre</w:t>
      </w:r>
      <w:proofErr w:type="spellEnd"/>
      <w:r>
        <w:rPr>
          <w:color w:val="212121"/>
        </w:rPr>
        <w:t xml:space="preserve"> or B12; and insufficiency of antibody-directed clearance alone.</w:t>
      </w:r>
    </w:p>
    <w:p w14:paraId="5ED2E1D3" w14:textId="77777777" w:rsidR="00C3338F" w:rsidRDefault="00000000">
      <w:pPr>
        <w:pStyle w:val="Heading2"/>
      </w:pPr>
      <w:r>
        <w:rPr>
          <w:color w:val="19192D"/>
        </w:rPr>
        <w:t>Data</w:t>
      </w:r>
      <w:r>
        <w:rPr>
          <w:color w:val="19192D"/>
          <w:spacing w:val="-4"/>
        </w:rPr>
        <w:t xml:space="preserve"> </w:t>
      </w:r>
      <w:r>
        <w:rPr>
          <w:color w:val="19192D"/>
        </w:rPr>
        <w:t>and</w:t>
      </w:r>
      <w:r>
        <w:rPr>
          <w:color w:val="19192D"/>
          <w:spacing w:val="-4"/>
        </w:rPr>
        <w:t xml:space="preserve"> </w:t>
      </w:r>
      <w:r>
        <w:rPr>
          <w:color w:val="19192D"/>
        </w:rPr>
        <w:t>code</w:t>
      </w:r>
      <w:r>
        <w:rPr>
          <w:color w:val="19192D"/>
          <w:spacing w:val="-3"/>
        </w:rPr>
        <w:t xml:space="preserve"> </w:t>
      </w:r>
      <w:r>
        <w:rPr>
          <w:color w:val="19192D"/>
          <w:spacing w:val="-2"/>
        </w:rPr>
        <w:t>availability</w:t>
      </w:r>
    </w:p>
    <w:p w14:paraId="5B2E386A" w14:textId="042F5899" w:rsidR="00C3338F" w:rsidRDefault="00000000">
      <w:pPr>
        <w:pStyle w:val="BodyText"/>
        <w:spacing w:before="131" w:line="247" w:lineRule="auto"/>
        <w:ind w:right="401"/>
      </w:pPr>
      <w:r>
        <w:rPr>
          <w:color w:val="212121"/>
        </w:rPr>
        <w:t>SBML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(assumed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calibrated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branches),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SED-ML,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OMEX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archive,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calibration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profile-likelihood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scripts, the </w:t>
      </w:r>
      <w:proofErr w:type="spellStart"/>
      <w:r>
        <w:rPr>
          <w:color w:val="212121"/>
        </w:rPr>
        <w:t>digitised</w:t>
      </w:r>
      <w:proofErr w:type="spellEnd"/>
      <w:r>
        <w:rPr>
          <w:color w:val="212121"/>
        </w:rPr>
        <w:t xml:space="preserve"> anchor table and figures are available</w:t>
      </w:r>
      <w:r w:rsidR="00B82361">
        <w:rPr>
          <w:color w:val="212121"/>
        </w:rPr>
        <w:t xml:space="preserve"> from </w:t>
      </w:r>
      <w:hyperlink r:id="rId13" w:history="1">
        <w:r w:rsidR="00B82361" w:rsidRPr="000946B6">
          <w:rPr>
            <w:rStyle w:val="Hyperlink"/>
          </w:rPr>
          <w:t>www.iqanova.org</w:t>
        </w:r>
      </w:hyperlink>
      <w:r w:rsidR="00B82361">
        <w:rPr>
          <w:color w:val="212121"/>
        </w:rPr>
        <w:t xml:space="preserve"> </w:t>
      </w:r>
      <w:r>
        <w:rPr>
          <w:color w:val="212121"/>
        </w:rPr>
        <w:t xml:space="preserve">as supplementary files with a SHA-256 </w:t>
      </w:r>
      <w:r>
        <w:rPr>
          <w:color w:val="212121"/>
          <w:spacing w:val="-2"/>
        </w:rPr>
        <w:t>manifest.</w:t>
      </w:r>
    </w:p>
    <w:p w14:paraId="17370F68" w14:textId="77777777" w:rsidR="00C3338F" w:rsidRDefault="00000000">
      <w:pPr>
        <w:pStyle w:val="BodyText"/>
        <w:spacing w:before="109"/>
        <w:ind w:right="400"/>
      </w:pPr>
      <w:r>
        <w:rPr>
          <w:b/>
          <w:color w:val="212121"/>
        </w:rPr>
        <w:t>Ethics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/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data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statement:</w:t>
      </w:r>
      <w:r>
        <w:rPr>
          <w:b/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N-of-1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value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taken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publicly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disclosed,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non-interventional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information; no identifiable clinical record was accessed; the result is not used for diagnosis or treatment.</w:t>
      </w:r>
    </w:p>
    <w:p w14:paraId="3656B48A" w14:textId="77777777" w:rsidR="00C3338F" w:rsidRDefault="00C3338F">
      <w:pPr>
        <w:pStyle w:val="BodyText"/>
        <w:spacing w:before="3"/>
        <w:ind w:left="0"/>
      </w:pPr>
    </w:p>
    <w:p w14:paraId="3758EEF8" w14:textId="77777777" w:rsidR="00C3338F" w:rsidRDefault="00000000">
      <w:pPr>
        <w:pStyle w:val="Heading2"/>
        <w:spacing w:before="0"/>
      </w:pPr>
      <w:r>
        <w:rPr>
          <w:color w:val="19192D"/>
        </w:rPr>
        <w:t>AI-use</w:t>
      </w:r>
      <w:r>
        <w:rPr>
          <w:color w:val="19192D"/>
          <w:spacing w:val="-6"/>
        </w:rPr>
        <w:t xml:space="preserve"> </w:t>
      </w:r>
      <w:r>
        <w:rPr>
          <w:color w:val="19192D"/>
          <w:spacing w:val="-2"/>
        </w:rPr>
        <w:t>statement</w:t>
      </w:r>
    </w:p>
    <w:p w14:paraId="69D47BF4" w14:textId="77777777" w:rsidR="00C3338F" w:rsidRDefault="00000000">
      <w:pPr>
        <w:pStyle w:val="BodyText"/>
        <w:spacing w:before="131" w:line="247" w:lineRule="auto"/>
        <w:ind w:right="593"/>
      </w:pPr>
      <w:r>
        <w:rPr>
          <w:color w:val="212121"/>
        </w:rPr>
        <w:t>Model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assembly,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calibration,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identifiability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analysis,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figure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generation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drafting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were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performed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 AI-QSP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pipeline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(IQANOVA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v2.21)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under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explicit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fidelity,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</w:rPr>
        <w:t>identifiability</w:t>
      </w:r>
      <w:proofErr w:type="gramEnd"/>
      <w:r>
        <w:rPr>
          <w:color w:val="212121"/>
          <w:spacing w:val="-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claim-control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gates,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human oversight.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Literature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values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were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digitised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published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sources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cited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below;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synthetic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patient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or trial arms were generated. AI assisted assembly and checking, but all equations, parameters, literature anchors, SBML files and profile-likelihood outputs are inspectable and reproducible.</w:t>
      </w:r>
    </w:p>
    <w:p w14:paraId="17A43402" w14:textId="77777777" w:rsidR="00C3338F" w:rsidRDefault="00000000">
      <w:pPr>
        <w:pStyle w:val="Heading2"/>
      </w:pPr>
      <w:r>
        <w:rPr>
          <w:color w:val="19192D"/>
          <w:spacing w:val="-2"/>
        </w:rPr>
        <w:t>Competing</w:t>
      </w:r>
      <w:r>
        <w:rPr>
          <w:color w:val="19192D"/>
        </w:rPr>
        <w:t xml:space="preserve"> </w:t>
      </w:r>
      <w:r>
        <w:rPr>
          <w:color w:val="19192D"/>
          <w:spacing w:val="-2"/>
        </w:rPr>
        <w:t>interests</w:t>
      </w:r>
    </w:p>
    <w:p w14:paraId="116BE794" w14:textId="77777777" w:rsidR="00C3338F" w:rsidRDefault="00000000">
      <w:pPr>
        <w:pStyle w:val="BodyText"/>
        <w:spacing w:before="131" w:line="247" w:lineRule="auto"/>
        <w:ind w:right="378"/>
      </w:pPr>
      <w:r>
        <w:rPr>
          <w:color w:val="212121"/>
        </w:rPr>
        <w:t>I.G.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Founder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CEO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IQANOVA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Ltd;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I.V.G.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Director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IQANOVA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Ltd.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IQANOVA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develops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AI-QSP pipeline used in this study. The authors declare no other competing interests.</w:t>
      </w:r>
    </w:p>
    <w:p w14:paraId="739FCABD" w14:textId="77777777" w:rsidR="00C3338F" w:rsidRDefault="00000000">
      <w:pPr>
        <w:pStyle w:val="Heading2"/>
      </w:pPr>
      <w:r>
        <w:rPr>
          <w:color w:val="19192D"/>
          <w:spacing w:val="-2"/>
        </w:rPr>
        <w:t>Funding</w:t>
      </w:r>
    </w:p>
    <w:p w14:paraId="66558ADC" w14:textId="77777777" w:rsidR="000950E8" w:rsidRDefault="000950E8">
      <w:pPr>
        <w:pStyle w:val="Heading2"/>
        <w:spacing w:before="250"/>
        <w:rPr>
          <w:b w:val="0"/>
          <w:bCs w:val="0"/>
          <w:color w:val="212121"/>
          <w:sz w:val="21"/>
          <w:szCs w:val="21"/>
        </w:rPr>
      </w:pPr>
      <w:r w:rsidRPr="000950E8">
        <w:rPr>
          <w:b w:val="0"/>
          <w:bCs w:val="0"/>
          <w:color w:val="212121"/>
          <w:sz w:val="21"/>
          <w:szCs w:val="21"/>
        </w:rPr>
        <w:t>This work was internally supported by IQANOVA Ltd. No external funding was received.</w:t>
      </w:r>
    </w:p>
    <w:p w14:paraId="12D769E5" w14:textId="2321E4DC" w:rsidR="00C3338F" w:rsidRDefault="00000000">
      <w:pPr>
        <w:pStyle w:val="Heading2"/>
        <w:spacing w:before="250"/>
      </w:pPr>
      <w:r>
        <w:rPr>
          <w:color w:val="19192D"/>
        </w:rPr>
        <w:t>Author</w:t>
      </w:r>
      <w:r>
        <w:rPr>
          <w:color w:val="19192D"/>
          <w:spacing w:val="-6"/>
        </w:rPr>
        <w:t xml:space="preserve"> </w:t>
      </w:r>
      <w:r>
        <w:rPr>
          <w:color w:val="19192D"/>
          <w:spacing w:val="-2"/>
        </w:rPr>
        <w:t>contributions</w:t>
      </w:r>
    </w:p>
    <w:p w14:paraId="6D06247F" w14:textId="77777777" w:rsidR="00C3338F" w:rsidRDefault="00000000">
      <w:pPr>
        <w:pStyle w:val="BodyText"/>
        <w:spacing w:before="130" w:line="247" w:lineRule="auto"/>
      </w:pPr>
      <w:r>
        <w:rPr>
          <w:color w:val="212121"/>
        </w:rPr>
        <w:t>I.G.: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conceptualization,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methodology,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software,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formal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analysis,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investigation,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writing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original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draft.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I.V.G.: methodology, validation, writing — review &amp; editing. Both authors read and approved the final manuscript.</w:t>
      </w:r>
    </w:p>
    <w:p w14:paraId="1FB2FFB8" w14:textId="77777777" w:rsidR="00C3338F" w:rsidRDefault="00000000">
      <w:pPr>
        <w:pStyle w:val="Heading2"/>
        <w:spacing w:before="250"/>
      </w:pPr>
      <w:r>
        <w:rPr>
          <w:color w:val="19192D"/>
          <w:spacing w:val="-2"/>
        </w:rPr>
        <w:t>References</w:t>
      </w:r>
    </w:p>
    <w:p w14:paraId="3108F8C2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spacing w:before="119"/>
        <w:ind w:left="361" w:right="584" w:hanging="360"/>
        <w:rPr>
          <w:sz w:val="18"/>
        </w:rPr>
      </w:pPr>
      <w:r>
        <w:rPr>
          <w:color w:val="212121"/>
          <w:sz w:val="18"/>
        </w:rPr>
        <w:t>Lenti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MV,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Rugge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Lahner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E,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Miceli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E,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Toh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BH,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Genta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RM,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De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Block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C,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Hershko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C,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Di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Sabatino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Autoimmune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gastritis.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Nat Rev Dis Primers. 2020;6(1):56. doi:10.1038/s41572-020-0187-8.</w:t>
      </w:r>
    </w:p>
    <w:p w14:paraId="403BE5D2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ind w:left="361" w:right="984" w:hanging="360"/>
        <w:rPr>
          <w:sz w:val="18"/>
        </w:rPr>
      </w:pPr>
      <w:r>
        <w:rPr>
          <w:color w:val="212121"/>
          <w:sz w:val="18"/>
        </w:rPr>
        <w:t>Castellana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C,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Eusebi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LH,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Dajti</w:t>
      </w:r>
      <w:proofErr w:type="spellEnd"/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E,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Iascone</w:t>
      </w:r>
      <w:proofErr w:type="spellEnd"/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V,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Vestito</w:t>
      </w:r>
      <w:proofErr w:type="spellEnd"/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A,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Fusaroli</w:t>
      </w:r>
      <w:proofErr w:type="spellEnd"/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P,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Fuccio</w:t>
      </w:r>
      <w:proofErr w:type="spellEnd"/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L,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D'Errico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Zagari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RM.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Autoimmune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atrophic gastritis: a clinical review. Cancers. 2024;16(7):1310. doi:10.3390/cancers16071310.</w:t>
      </w:r>
    </w:p>
    <w:p w14:paraId="54EC7DBB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spacing w:before="40"/>
        <w:ind w:left="361" w:right="419" w:hanging="360"/>
        <w:rPr>
          <w:sz w:val="18"/>
        </w:rPr>
      </w:pPr>
      <w:proofErr w:type="spellStart"/>
      <w:r>
        <w:rPr>
          <w:color w:val="212121"/>
          <w:sz w:val="18"/>
        </w:rPr>
        <w:t>Massironi</w:t>
      </w:r>
      <w:proofErr w:type="spellEnd"/>
      <w:r>
        <w:rPr>
          <w:color w:val="212121"/>
          <w:sz w:val="18"/>
        </w:rPr>
        <w:t xml:space="preserve"> S, Oriani E, </w:t>
      </w:r>
      <w:proofErr w:type="spellStart"/>
      <w:r>
        <w:rPr>
          <w:color w:val="212121"/>
          <w:sz w:val="18"/>
        </w:rPr>
        <w:t>Dell'Anna</w:t>
      </w:r>
      <w:proofErr w:type="spellEnd"/>
      <w:r>
        <w:rPr>
          <w:color w:val="212121"/>
          <w:sz w:val="18"/>
        </w:rPr>
        <w:t xml:space="preserve"> G, Danese S, </w:t>
      </w:r>
      <w:proofErr w:type="spellStart"/>
      <w:r>
        <w:rPr>
          <w:color w:val="212121"/>
          <w:sz w:val="18"/>
        </w:rPr>
        <w:t>Facciotti</w:t>
      </w:r>
      <w:proofErr w:type="spellEnd"/>
      <w:r>
        <w:rPr>
          <w:color w:val="212121"/>
          <w:sz w:val="18"/>
        </w:rPr>
        <w:t xml:space="preserve"> F. The autoimmune gastritis puzzle: emerging cellular crosstalk and molecular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pathways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driving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parietal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cell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loss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and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ECL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cell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hyperplasia.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Cells.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2025;14(20):1576.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doi:10.3390/cells14201576.</w:t>
      </w:r>
    </w:p>
    <w:p w14:paraId="0FA063FA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ind w:left="361" w:right="386" w:hanging="360"/>
        <w:rPr>
          <w:sz w:val="18"/>
        </w:rPr>
      </w:pPr>
      <w:r w:rsidRPr="005F021D">
        <w:rPr>
          <w:color w:val="212121"/>
          <w:sz w:val="18"/>
          <w:lang w:val="fr-FR"/>
        </w:rPr>
        <w:t>D'Elios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MM,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Bergman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MP,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Azzurri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A,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et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al.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>
        <w:rPr>
          <w:color w:val="212121"/>
          <w:sz w:val="18"/>
        </w:rPr>
        <w:t>H</w:t>
      </w:r>
      <w:proofErr w:type="gramStart"/>
      <w:r>
        <w:rPr>
          <w:color w:val="212121"/>
          <w:sz w:val="18"/>
        </w:rPr>
        <w:t>+,K</w:t>
      </w:r>
      <w:proofErr w:type="gramEnd"/>
      <w:r>
        <w:rPr>
          <w:color w:val="212121"/>
          <w:sz w:val="18"/>
        </w:rPr>
        <w:t>+-ATPase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(proton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pump)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is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target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autoantigen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Th1-type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cytotoxic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cells in autoimmune gastritis. Gastroenterology. 2001;120(2):377–386. doi:10.1053/gast.2001.21187.</w:t>
      </w:r>
    </w:p>
    <w:p w14:paraId="172816A9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spacing w:before="40"/>
        <w:ind w:left="361" w:right="979" w:hanging="360"/>
        <w:rPr>
          <w:sz w:val="18"/>
        </w:rPr>
      </w:pPr>
      <w:r>
        <w:rPr>
          <w:color w:val="212121"/>
          <w:sz w:val="18"/>
        </w:rPr>
        <w:t>Relevance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pepsinogen,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gastrin,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and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endoscopic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atrophy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diagnosis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autoimmune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gastritis.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Sci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Rep.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 xml:space="preserve">2022;12. doi:10.1038/s41598-022-07947-1. (Serum gastrin diagnostic cutoff 355 </w:t>
      </w:r>
      <w:proofErr w:type="spellStart"/>
      <w:r>
        <w:rPr>
          <w:color w:val="212121"/>
          <w:sz w:val="18"/>
        </w:rPr>
        <w:t>pg</w:t>
      </w:r>
      <w:proofErr w:type="spellEnd"/>
      <w:r>
        <w:rPr>
          <w:color w:val="212121"/>
          <w:sz w:val="18"/>
        </w:rPr>
        <w:t>/</w:t>
      </w:r>
      <w:proofErr w:type="spellStart"/>
      <w:r>
        <w:rPr>
          <w:color w:val="212121"/>
          <w:sz w:val="18"/>
        </w:rPr>
        <w:t>mL.</w:t>
      </w:r>
      <w:proofErr w:type="spellEnd"/>
      <w:r>
        <w:rPr>
          <w:color w:val="212121"/>
          <w:sz w:val="18"/>
        </w:rPr>
        <w:t>)</w:t>
      </w:r>
    </w:p>
    <w:p w14:paraId="77FA04A4" w14:textId="77777777" w:rsidR="00C3338F" w:rsidRDefault="00C3338F">
      <w:pPr>
        <w:pStyle w:val="ListParagraph"/>
        <w:rPr>
          <w:sz w:val="18"/>
        </w:rPr>
        <w:sectPr w:rsidR="00C3338F">
          <w:pgSz w:w="12240" w:h="15840"/>
          <w:pgMar w:top="1100" w:right="1080" w:bottom="960" w:left="1440" w:header="691" w:footer="764" w:gutter="0"/>
          <w:cols w:space="720"/>
        </w:sectPr>
      </w:pPr>
    </w:p>
    <w:p w14:paraId="4D911112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spacing w:before="90"/>
        <w:ind w:left="361" w:right="415" w:hanging="360"/>
        <w:rPr>
          <w:sz w:val="18"/>
        </w:rPr>
      </w:pPr>
      <w:r w:rsidRPr="005F021D">
        <w:rPr>
          <w:color w:val="212121"/>
          <w:sz w:val="18"/>
          <w:lang w:val="fr-FR"/>
        </w:rPr>
        <w:lastRenderedPageBreak/>
        <w:t xml:space="preserve">Wang YQ, Liu ZJ, et al. </w:t>
      </w:r>
      <w:r>
        <w:rPr>
          <w:color w:val="212121"/>
          <w:sz w:val="18"/>
        </w:rPr>
        <w:t>Do serum biomarkers correlate to the risk of gastric lesions in patients with autoimmune gastritis? A systematic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review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and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meta-analysis.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Clin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Res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Hepatol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Gastroenterol.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2025;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article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PII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S2210-7401(25)00199-8.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 xml:space="preserve">(Weighted-mean gastrin 811.53 </w:t>
      </w:r>
      <w:proofErr w:type="spellStart"/>
      <w:r>
        <w:rPr>
          <w:color w:val="212121"/>
          <w:sz w:val="18"/>
        </w:rPr>
        <w:t>pg</w:t>
      </w:r>
      <w:proofErr w:type="spellEnd"/>
      <w:r>
        <w:rPr>
          <w:color w:val="212121"/>
          <w:sz w:val="18"/>
        </w:rPr>
        <w:t xml:space="preserve">/mL for NET, 240.02 </w:t>
      </w:r>
      <w:proofErr w:type="spellStart"/>
      <w:r>
        <w:rPr>
          <w:color w:val="212121"/>
          <w:sz w:val="18"/>
        </w:rPr>
        <w:t>pg</w:t>
      </w:r>
      <w:proofErr w:type="spellEnd"/>
      <w:r>
        <w:rPr>
          <w:color w:val="212121"/>
          <w:sz w:val="18"/>
        </w:rPr>
        <w:t>/mL for gastric polyps.)</w:t>
      </w:r>
    </w:p>
    <w:p w14:paraId="5148C55E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ind w:left="361" w:right="733" w:hanging="360"/>
        <w:rPr>
          <w:sz w:val="18"/>
        </w:rPr>
      </w:pPr>
      <w:r>
        <w:rPr>
          <w:color w:val="212121"/>
          <w:sz w:val="18"/>
        </w:rPr>
        <w:t>Serum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gastrin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levels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are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associated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with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prevalent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neuroendocrine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tumors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autoimmune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metaplastic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atrophic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 xml:space="preserve">gastritis. 2025. PMID 39588964. (Gastrin 679.5 vs 1859.8 </w:t>
      </w:r>
      <w:proofErr w:type="spellStart"/>
      <w:r>
        <w:rPr>
          <w:color w:val="212121"/>
          <w:sz w:val="18"/>
        </w:rPr>
        <w:t>pg</w:t>
      </w:r>
      <w:proofErr w:type="spellEnd"/>
      <w:r>
        <w:rPr>
          <w:color w:val="212121"/>
          <w:sz w:val="18"/>
        </w:rPr>
        <w:t xml:space="preserve">/mL without vs with </w:t>
      </w:r>
      <w:proofErr w:type="spellStart"/>
      <w:r>
        <w:rPr>
          <w:color w:val="212121"/>
          <w:sz w:val="18"/>
        </w:rPr>
        <w:t>gNET</w:t>
      </w:r>
      <w:proofErr w:type="spellEnd"/>
      <w:r>
        <w:rPr>
          <w:color w:val="212121"/>
          <w:sz w:val="18"/>
        </w:rPr>
        <w:t>.)</w:t>
      </w:r>
    </w:p>
    <w:p w14:paraId="6FC87B37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spacing w:before="40"/>
        <w:ind w:left="361" w:right="555" w:hanging="360"/>
        <w:rPr>
          <w:sz w:val="18"/>
        </w:rPr>
      </w:pPr>
      <w:r>
        <w:rPr>
          <w:color w:val="212121"/>
          <w:sz w:val="18"/>
        </w:rPr>
        <w:t xml:space="preserve">Herold Z, Doleschall M, Somogyi A, et al. Serum chromogranin A level continuously rises with the progression of type 1 </w:t>
      </w:r>
      <w:proofErr w:type="gramStart"/>
      <w:r>
        <w:rPr>
          <w:color w:val="212121"/>
          <w:sz w:val="18"/>
        </w:rPr>
        <w:t>diabetes,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and</w:t>
      </w:r>
      <w:proofErr w:type="gramEnd"/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indicates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presence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both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enterochromaffin-like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cell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hyperplasia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and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autoimmune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gastritis.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J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 xml:space="preserve">Diabetes </w:t>
      </w:r>
      <w:proofErr w:type="spellStart"/>
      <w:r>
        <w:rPr>
          <w:color w:val="212121"/>
          <w:sz w:val="18"/>
        </w:rPr>
        <w:t>Investig</w:t>
      </w:r>
      <w:proofErr w:type="spellEnd"/>
      <w:r>
        <w:rPr>
          <w:color w:val="212121"/>
          <w:sz w:val="18"/>
        </w:rPr>
        <w:t>. 2020;11(4):865–873. doi:10.1111/jdi.13203. (</w:t>
      </w:r>
      <w:proofErr w:type="spellStart"/>
      <w:r>
        <w:rPr>
          <w:color w:val="212121"/>
          <w:sz w:val="18"/>
        </w:rPr>
        <w:t>CgA</w:t>
      </w:r>
      <w:proofErr w:type="spellEnd"/>
      <w:r>
        <w:rPr>
          <w:color w:val="212121"/>
          <w:sz w:val="18"/>
        </w:rPr>
        <w:t xml:space="preserve"> ECL⁺ cutoff 183.35 ng/</w:t>
      </w:r>
      <w:proofErr w:type="spellStart"/>
      <w:r>
        <w:rPr>
          <w:color w:val="212121"/>
          <w:sz w:val="18"/>
        </w:rPr>
        <w:t>mL.</w:t>
      </w:r>
      <w:proofErr w:type="spellEnd"/>
      <w:r>
        <w:rPr>
          <w:color w:val="212121"/>
          <w:sz w:val="18"/>
        </w:rPr>
        <w:t>)</w:t>
      </w:r>
    </w:p>
    <w:p w14:paraId="792BE589" w14:textId="77777777" w:rsidR="00C3338F" w:rsidRDefault="00000000">
      <w:pPr>
        <w:pStyle w:val="ListParagraph"/>
        <w:numPr>
          <w:ilvl w:val="0"/>
          <w:numId w:val="1"/>
        </w:numPr>
        <w:tabs>
          <w:tab w:val="left" w:pos="180"/>
          <w:tab w:val="left" w:pos="361"/>
        </w:tabs>
        <w:ind w:left="361" w:right="491" w:hanging="360"/>
        <w:rPr>
          <w:sz w:val="18"/>
        </w:rPr>
      </w:pPr>
      <w:r>
        <w:rPr>
          <w:color w:val="212121"/>
          <w:sz w:val="18"/>
        </w:rPr>
        <w:t xml:space="preserve">Kalkan Ç, Karakaya F, </w:t>
      </w:r>
      <w:proofErr w:type="spellStart"/>
      <w:r>
        <w:rPr>
          <w:color w:val="212121"/>
          <w:sz w:val="18"/>
        </w:rPr>
        <w:t>Soykan</w:t>
      </w:r>
      <w:proofErr w:type="spellEnd"/>
      <w:r>
        <w:rPr>
          <w:color w:val="212121"/>
          <w:sz w:val="18"/>
        </w:rPr>
        <w:t xml:space="preserve"> İ. Factors associated with elevated serum chromogranin A levels in patients with autoimmune gastritis.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Turk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J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Gastroenterol.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2016;27(6):515–520.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PMID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27852542.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(</w:t>
      </w:r>
      <w:proofErr w:type="spellStart"/>
      <w:r>
        <w:rPr>
          <w:color w:val="212121"/>
          <w:sz w:val="18"/>
        </w:rPr>
        <w:t>CgA</w:t>
      </w:r>
      <w:proofErr w:type="spellEnd"/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171.17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±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67.3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ng/mL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without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vs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303.3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±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102.82 ng/mL with ECL-cell hyperplasia.)</w:t>
      </w:r>
    </w:p>
    <w:p w14:paraId="2411C304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ind w:left="361" w:right="545" w:hanging="360"/>
        <w:rPr>
          <w:sz w:val="18"/>
        </w:rPr>
      </w:pPr>
      <w:r>
        <w:rPr>
          <w:color w:val="212121"/>
          <w:sz w:val="18"/>
        </w:rPr>
        <w:t>Autoimmune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metaplastic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atrophic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gastritis.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Merck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Manual,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Professional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Edition;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2025.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(Gastrin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frequently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&gt;1000</w:t>
      </w:r>
      <w:r>
        <w:rPr>
          <w:color w:val="212121"/>
          <w:spacing w:val="-4"/>
          <w:sz w:val="18"/>
        </w:rPr>
        <w:t xml:space="preserve"> </w:t>
      </w:r>
      <w:proofErr w:type="spellStart"/>
      <w:r>
        <w:rPr>
          <w:color w:val="212121"/>
          <w:sz w:val="18"/>
        </w:rPr>
        <w:t>pg</w:t>
      </w:r>
      <w:proofErr w:type="spellEnd"/>
      <w:r>
        <w:rPr>
          <w:color w:val="212121"/>
          <w:sz w:val="18"/>
        </w:rPr>
        <w:t>/mL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 achlorhydria-driven</w:t>
      </w:r>
      <w:r>
        <w:rPr>
          <w:color w:val="212121"/>
          <w:spacing w:val="-2"/>
          <w:sz w:val="18"/>
        </w:rPr>
        <w:t xml:space="preserve"> </w:t>
      </w:r>
      <w:proofErr w:type="spellStart"/>
      <w:r>
        <w:rPr>
          <w:color w:val="212121"/>
          <w:sz w:val="18"/>
        </w:rPr>
        <w:t>hypergastrinaemia</w:t>
      </w:r>
      <w:proofErr w:type="spellEnd"/>
      <w:r>
        <w:rPr>
          <w:color w:val="212121"/>
          <w:sz w:val="18"/>
        </w:rPr>
        <w:t>.)</w:t>
      </w:r>
    </w:p>
    <w:p w14:paraId="587328DF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spacing w:before="40"/>
        <w:ind w:left="361" w:right="488" w:hanging="360"/>
        <w:rPr>
          <w:sz w:val="18"/>
        </w:rPr>
      </w:pPr>
      <w:r>
        <w:rPr>
          <w:color w:val="212121"/>
          <w:sz w:val="18"/>
        </w:rPr>
        <w:t>Goryanin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Goryanin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Demin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Revolutionizing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drug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discovery: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integrating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artificial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intelligence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with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quantitative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 xml:space="preserve">systems pharmacology. Drug </w:t>
      </w:r>
      <w:proofErr w:type="spellStart"/>
      <w:r>
        <w:rPr>
          <w:color w:val="212121"/>
          <w:sz w:val="18"/>
        </w:rPr>
        <w:t>Discov</w:t>
      </w:r>
      <w:proofErr w:type="spellEnd"/>
      <w:r>
        <w:rPr>
          <w:color w:val="212121"/>
          <w:sz w:val="18"/>
        </w:rPr>
        <w:t xml:space="preserve"> Today. </w:t>
      </w:r>
      <w:proofErr w:type="gramStart"/>
      <w:r>
        <w:rPr>
          <w:color w:val="212121"/>
          <w:sz w:val="18"/>
        </w:rPr>
        <w:t>2025;30:104448</w:t>
      </w:r>
      <w:proofErr w:type="gramEnd"/>
      <w:r>
        <w:rPr>
          <w:color w:val="212121"/>
          <w:sz w:val="18"/>
        </w:rPr>
        <w:t xml:space="preserve">. </w:t>
      </w:r>
      <w:proofErr w:type="gramStart"/>
      <w:r>
        <w:rPr>
          <w:color w:val="212121"/>
          <w:sz w:val="18"/>
        </w:rPr>
        <w:t>doi:10.1016/j.drudis</w:t>
      </w:r>
      <w:proofErr w:type="gramEnd"/>
      <w:r>
        <w:rPr>
          <w:color w:val="212121"/>
          <w:sz w:val="18"/>
        </w:rPr>
        <w:t>.2025.104448. PMID 40774584.</w:t>
      </w:r>
    </w:p>
    <w:p w14:paraId="54F3EA99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ind w:left="361" w:right="888" w:hanging="360"/>
        <w:rPr>
          <w:sz w:val="18"/>
        </w:rPr>
      </w:pPr>
      <w:r>
        <w:rPr>
          <w:color w:val="212121"/>
          <w:sz w:val="18"/>
        </w:rPr>
        <w:t>Goryanin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I,</w:t>
      </w:r>
      <w:r>
        <w:rPr>
          <w:color w:val="212121"/>
          <w:spacing w:val="-4"/>
          <w:sz w:val="18"/>
        </w:rPr>
        <w:t xml:space="preserve"> </w:t>
      </w:r>
      <w:proofErr w:type="spellStart"/>
      <w:r>
        <w:rPr>
          <w:color w:val="212121"/>
          <w:sz w:val="18"/>
        </w:rPr>
        <w:t>Slovianov</w:t>
      </w:r>
      <w:proofErr w:type="spellEnd"/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L,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Checkley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S,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Goryanin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I.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EHMN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2026: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thermodynamically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refined,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SBML-</w:t>
      </w:r>
      <w:proofErr w:type="spellStart"/>
      <w:r>
        <w:rPr>
          <w:color w:val="212121"/>
          <w:sz w:val="18"/>
        </w:rPr>
        <w:t>standardised</w:t>
      </w:r>
      <w:proofErr w:type="spellEnd"/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 xml:space="preserve">human metabolic network for genome-scale analysis and QSP integration. Metabolites. 2026;16(4):236. </w:t>
      </w:r>
      <w:r>
        <w:rPr>
          <w:color w:val="212121"/>
          <w:spacing w:val="-2"/>
          <w:sz w:val="18"/>
        </w:rPr>
        <w:t>doi:10.3390/metabo16040236.</w:t>
      </w:r>
    </w:p>
    <w:p w14:paraId="2C7BC587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ind w:left="361" w:right="469" w:hanging="360"/>
        <w:rPr>
          <w:sz w:val="18"/>
        </w:rPr>
      </w:pPr>
      <w:r w:rsidRPr="005F021D">
        <w:rPr>
          <w:color w:val="212121"/>
          <w:sz w:val="18"/>
          <w:lang w:val="fr-FR"/>
        </w:rPr>
        <w:t>Raue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A,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Kreutz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C,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Maiwald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T,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et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 w:rsidRPr="005F021D">
        <w:rPr>
          <w:color w:val="212121"/>
          <w:sz w:val="18"/>
          <w:lang w:val="fr-FR"/>
        </w:rPr>
        <w:t>al.</w:t>
      </w:r>
      <w:r w:rsidRPr="005F021D">
        <w:rPr>
          <w:color w:val="212121"/>
          <w:spacing w:val="-3"/>
          <w:sz w:val="18"/>
          <w:lang w:val="fr-FR"/>
        </w:rPr>
        <w:t xml:space="preserve"> </w:t>
      </w:r>
      <w:r>
        <w:rPr>
          <w:color w:val="212121"/>
          <w:sz w:val="18"/>
        </w:rPr>
        <w:t>Structural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and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practical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identifiability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analysis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partially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observed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dynamical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models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by exploiting the profile likelihood. Bioinformatics. 2009;25(15):1923–1929. doi:10.1093/bioinformatics/btp358.</w:t>
      </w:r>
    </w:p>
    <w:p w14:paraId="23558CA2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spacing w:before="40"/>
        <w:ind w:left="361" w:right="905" w:hanging="360"/>
        <w:rPr>
          <w:sz w:val="18"/>
        </w:rPr>
      </w:pPr>
      <w:proofErr w:type="spellStart"/>
      <w:r>
        <w:rPr>
          <w:color w:val="212121"/>
          <w:sz w:val="18"/>
        </w:rPr>
        <w:t>Hucka</w:t>
      </w:r>
      <w:proofErr w:type="spellEnd"/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M,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Finney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Sauro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HM,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et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al.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systems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biology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markup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language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(SBML):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medium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for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representation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and exchange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biochemical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network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models.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Bioinformatics.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2003;19(4):524–531.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z w:val="18"/>
        </w:rPr>
        <w:t>doi:10.1093/bioinformatics/btg015.</w:t>
      </w:r>
    </w:p>
    <w:p w14:paraId="2400EC5C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ind w:left="361" w:right="546" w:hanging="360"/>
        <w:rPr>
          <w:sz w:val="18"/>
        </w:rPr>
      </w:pPr>
      <w:r>
        <w:rPr>
          <w:color w:val="212121"/>
          <w:sz w:val="18"/>
        </w:rPr>
        <w:t>Somogyi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ET,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Bouteiller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JM,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Glazier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JA,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König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Medley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JK,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Swat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MH,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Sauro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HM.</w:t>
      </w:r>
      <w:r>
        <w:rPr>
          <w:color w:val="212121"/>
          <w:spacing w:val="-3"/>
          <w:sz w:val="18"/>
        </w:rPr>
        <w:t xml:space="preserve"> </w:t>
      </w:r>
      <w:proofErr w:type="spellStart"/>
      <w:r>
        <w:rPr>
          <w:color w:val="212121"/>
          <w:sz w:val="18"/>
        </w:rPr>
        <w:t>libRoadRunner</w:t>
      </w:r>
      <w:proofErr w:type="spellEnd"/>
      <w:r>
        <w:rPr>
          <w:color w:val="212121"/>
          <w:sz w:val="18"/>
        </w:rPr>
        <w:t>: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a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high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performance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SBML simulation and analysis library. Bioinformatics. 2015;31(20):3315–3321. doi:10.1093/bioinformatics/btv363.</w:t>
      </w:r>
    </w:p>
    <w:p w14:paraId="5278402A" w14:textId="77777777" w:rsidR="00C3338F" w:rsidRDefault="00000000">
      <w:pPr>
        <w:pStyle w:val="ListParagraph"/>
        <w:numPr>
          <w:ilvl w:val="0"/>
          <w:numId w:val="1"/>
        </w:numPr>
        <w:tabs>
          <w:tab w:val="left" w:pos="269"/>
          <w:tab w:val="left" w:pos="361"/>
        </w:tabs>
        <w:spacing w:before="40"/>
        <w:ind w:left="361" w:right="983" w:hanging="360"/>
        <w:rPr>
          <w:sz w:val="18"/>
        </w:rPr>
      </w:pPr>
      <w:r>
        <w:rPr>
          <w:color w:val="212121"/>
          <w:sz w:val="18"/>
        </w:rPr>
        <w:t>American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Society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Mechanical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Engineers.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Assessing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credibility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computational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modeling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through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verification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and validation: application to medical devices. ASME V&amp;V 40-2018. New York, NY: ASME; 2018.</w:t>
      </w:r>
    </w:p>
    <w:sectPr w:rsidR="00C3338F">
      <w:pgSz w:w="12240" w:h="15840"/>
      <w:pgMar w:top="1100" w:right="1080" w:bottom="960" w:left="1440" w:header="691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3DEC9" w14:textId="77777777" w:rsidR="00447274" w:rsidRDefault="00447274">
      <w:r>
        <w:separator/>
      </w:r>
    </w:p>
  </w:endnote>
  <w:endnote w:type="continuationSeparator" w:id="0">
    <w:p w14:paraId="79BA581C" w14:textId="77777777" w:rsidR="00447274" w:rsidRDefault="0044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D7766" w14:textId="77777777" w:rsidR="00C3338F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40D3F1B1" wp14:editId="1DEBEFD7">
              <wp:simplePos x="0" y="0"/>
              <wp:positionH relativeFrom="page">
                <wp:posOffset>3736975</wp:posOffset>
              </wp:positionH>
              <wp:positionV relativeFrom="page">
                <wp:posOffset>9433590</wp:posOffset>
              </wp:positionV>
              <wp:extent cx="339725" cy="188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72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75C699" w14:textId="77777777" w:rsidR="00C3338F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999999"/>
                              <w:sz w:val="15"/>
                            </w:rPr>
                            <w:t>Page</w:t>
                          </w:r>
                          <w:r>
                            <w:rPr>
                              <w:color w:val="999999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212121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212121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color w:val="212121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3F1B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4.25pt;margin-top:742.8pt;width:26.75pt;height:14.8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" filled="f" stroked="f">
              <v:textbox inset="0,0,0,0">
                <w:txbxContent>
                  <w:p w14:paraId="7E75C699" w14:textId="77777777" w:rsidR="00C3338F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999999"/>
                        <w:sz w:val="15"/>
                      </w:rPr>
                      <w:t>Page</w:t>
                    </w:r>
                    <w:r>
                      <w:rPr>
                        <w:color w:val="999999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color w:val="212121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212121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212121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212121"/>
                        <w:spacing w:val="-10"/>
                        <w:sz w:val="21"/>
                      </w:rPr>
                      <w:t>1</w:t>
                    </w:r>
                    <w:r>
                      <w:rPr>
                        <w:color w:val="212121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C63B2" w14:textId="77777777" w:rsidR="00447274" w:rsidRDefault="00447274">
      <w:r>
        <w:separator/>
      </w:r>
    </w:p>
  </w:footnote>
  <w:footnote w:type="continuationSeparator" w:id="0">
    <w:p w14:paraId="6CDB47EB" w14:textId="77777777" w:rsidR="00447274" w:rsidRDefault="0044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660FE" w14:textId="77777777" w:rsidR="00C3338F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6A27DDFF" wp14:editId="167C7CFF">
              <wp:simplePos x="0" y="0"/>
              <wp:positionH relativeFrom="page">
                <wp:posOffset>4676775</wp:posOffset>
              </wp:positionH>
              <wp:positionV relativeFrom="page">
                <wp:posOffset>436992</wp:posOffset>
              </wp:positionV>
              <wp:extent cx="2193925" cy="1422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3925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B8E3D" w14:textId="77777777" w:rsidR="00C3338F" w:rsidRDefault="00000000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999999"/>
                              <w:sz w:val="15"/>
                            </w:rPr>
                            <w:t>AIG-VHT</w:t>
                          </w:r>
                          <w:r>
                            <w:rPr>
                              <w:color w:val="999999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5"/>
                            </w:rPr>
                            <w:t>·</w:t>
                          </w:r>
                          <w:r>
                            <w:rPr>
                              <w:color w:val="999999"/>
                              <w:spacing w:val="-6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15"/>
                            </w:rPr>
                            <w:t>medRxiv</w:t>
                          </w:r>
                          <w:proofErr w:type="spellEnd"/>
                          <w:r>
                            <w:rPr>
                              <w:color w:val="999999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5"/>
                            </w:rPr>
                            <w:t>preprint</w:t>
                          </w:r>
                          <w:r>
                            <w:rPr>
                              <w:color w:val="999999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5"/>
                            </w:rPr>
                            <w:t>·</w:t>
                          </w:r>
                          <w:r>
                            <w:rPr>
                              <w:color w:val="999999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5"/>
                            </w:rPr>
                            <w:t>CORE_CALIBRATED</w:t>
                          </w:r>
                          <w:r>
                            <w:rPr>
                              <w:color w:val="999999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5"/>
                            </w:rPr>
                            <w:t>(Tier</w:t>
                          </w:r>
                          <w:r>
                            <w:rPr>
                              <w:color w:val="999999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pacing w:val="-5"/>
                              <w:sz w:val="15"/>
                            </w:rPr>
                            <w:t>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DD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68.25pt;margin-top:34.4pt;width:172.75pt;height:11.2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" filled="f" stroked="f">
              <v:textbox inset="0,0,0,0">
                <w:txbxContent>
                  <w:p w14:paraId="7F7B8E3D" w14:textId="77777777" w:rsidR="00C3338F" w:rsidRDefault="00000000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color w:val="999999"/>
                        <w:sz w:val="15"/>
                      </w:rPr>
                      <w:t>AIG-VHT</w:t>
                    </w:r>
                    <w:r>
                      <w:rPr>
                        <w:color w:val="999999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z w:val="15"/>
                      </w:rPr>
                      <w:t>·</w:t>
                    </w:r>
                    <w:r>
                      <w:rPr>
                        <w:color w:val="999999"/>
                        <w:spacing w:val="-6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15"/>
                      </w:rPr>
                      <w:t>medRxiv</w:t>
                    </w:r>
                    <w:proofErr w:type="spellEnd"/>
                    <w:r>
                      <w:rPr>
                        <w:color w:val="999999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z w:val="15"/>
                      </w:rPr>
                      <w:t>preprint</w:t>
                    </w:r>
                    <w:r>
                      <w:rPr>
                        <w:color w:val="999999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z w:val="15"/>
                      </w:rPr>
                      <w:t>·</w:t>
                    </w:r>
                    <w:r>
                      <w:rPr>
                        <w:color w:val="999999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z w:val="15"/>
                      </w:rPr>
                      <w:t>CORE_CALIBRATED</w:t>
                    </w:r>
                    <w:r>
                      <w:rPr>
                        <w:color w:val="999999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z w:val="15"/>
                      </w:rPr>
                      <w:t>(Tier</w:t>
                    </w:r>
                    <w:r>
                      <w:rPr>
                        <w:color w:val="999999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999999"/>
                        <w:spacing w:val="-5"/>
                        <w:sz w:val="15"/>
                      </w:rP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72773"/>
    <w:multiLevelType w:val="hybridMultilevel"/>
    <w:tmpl w:val="4766A06E"/>
    <w:lvl w:ilvl="0" w:tplc="1A4E7118">
      <w:start w:val="1"/>
      <w:numFmt w:val="decimal"/>
      <w:lvlText w:val="%1."/>
      <w:lvlJc w:val="left"/>
      <w:pPr>
        <w:ind w:left="362" w:hanging="18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-1"/>
        <w:w w:val="100"/>
        <w:sz w:val="18"/>
        <w:szCs w:val="18"/>
        <w:lang w:val="en-US" w:eastAsia="en-US" w:bidi="ar-SA"/>
      </w:rPr>
    </w:lvl>
    <w:lvl w:ilvl="1" w:tplc="21344F5E">
      <w:numFmt w:val="bullet"/>
      <w:lvlText w:val="•"/>
      <w:lvlJc w:val="left"/>
      <w:pPr>
        <w:ind w:left="1296" w:hanging="180"/>
      </w:pPr>
      <w:rPr>
        <w:rFonts w:hint="default"/>
        <w:lang w:val="en-US" w:eastAsia="en-US" w:bidi="ar-SA"/>
      </w:rPr>
    </w:lvl>
    <w:lvl w:ilvl="2" w:tplc="5316E35E">
      <w:numFmt w:val="bullet"/>
      <w:lvlText w:val="•"/>
      <w:lvlJc w:val="left"/>
      <w:pPr>
        <w:ind w:left="2232" w:hanging="180"/>
      </w:pPr>
      <w:rPr>
        <w:rFonts w:hint="default"/>
        <w:lang w:val="en-US" w:eastAsia="en-US" w:bidi="ar-SA"/>
      </w:rPr>
    </w:lvl>
    <w:lvl w:ilvl="3" w:tplc="24C4F3B8">
      <w:numFmt w:val="bullet"/>
      <w:lvlText w:val="•"/>
      <w:lvlJc w:val="left"/>
      <w:pPr>
        <w:ind w:left="3168" w:hanging="180"/>
      </w:pPr>
      <w:rPr>
        <w:rFonts w:hint="default"/>
        <w:lang w:val="en-US" w:eastAsia="en-US" w:bidi="ar-SA"/>
      </w:rPr>
    </w:lvl>
    <w:lvl w:ilvl="4" w:tplc="7E70ECD2">
      <w:numFmt w:val="bullet"/>
      <w:lvlText w:val="•"/>
      <w:lvlJc w:val="left"/>
      <w:pPr>
        <w:ind w:left="4104" w:hanging="180"/>
      </w:pPr>
      <w:rPr>
        <w:rFonts w:hint="default"/>
        <w:lang w:val="en-US" w:eastAsia="en-US" w:bidi="ar-SA"/>
      </w:rPr>
    </w:lvl>
    <w:lvl w:ilvl="5" w:tplc="BDB45DDE">
      <w:numFmt w:val="bullet"/>
      <w:lvlText w:val="•"/>
      <w:lvlJc w:val="left"/>
      <w:pPr>
        <w:ind w:left="5040" w:hanging="180"/>
      </w:pPr>
      <w:rPr>
        <w:rFonts w:hint="default"/>
        <w:lang w:val="en-US" w:eastAsia="en-US" w:bidi="ar-SA"/>
      </w:rPr>
    </w:lvl>
    <w:lvl w:ilvl="6" w:tplc="A1A6D16C">
      <w:numFmt w:val="bullet"/>
      <w:lvlText w:val="•"/>
      <w:lvlJc w:val="left"/>
      <w:pPr>
        <w:ind w:left="5976" w:hanging="180"/>
      </w:pPr>
      <w:rPr>
        <w:rFonts w:hint="default"/>
        <w:lang w:val="en-US" w:eastAsia="en-US" w:bidi="ar-SA"/>
      </w:rPr>
    </w:lvl>
    <w:lvl w:ilvl="7" w:tplc="CD76B598">
      <w:numFmt w:val="bullet"/>
      <w:lvlText w:val="•"/>
      <w:lvlJc w:val="left"/>
      <w:pPr>
        <w:ind w:left="6912" w:hanging="180"/>
      </w:pPr>
      <w:rPr>
        <w:rFonts w:hint="default"/>
        <w:lang w:val="en-US" w:eastAsia="en-US" w:bidi="ar-SA"/>
      </w:rPr>
    </w:lvl>
    <w:lvl w:ilvl="8" w:tplc="FE06CEEE">
      <w:numFmt w:val="bullet"/>
      <w:lvlText w:val="•"/>
      <w:lvlJc w:val="left"/>
      <w:pPr>
        <w:ind w:left="7848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787C0064"/>
    <w:multiLevelType w:val="multilevel"/>
    <w:tmpl w:val="2A72CBA6"/>
    <w:lvl w:ilvl="0">
      <w:start w:val="1"/>
      <w:numFmt w:val="decimal"/>
      <w:lvlText w:val="%1."/>
      <w:lvlJc w:val="left"/>
      <w:pPr>
        <w:ind w:left="281" w:hanging="28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9192D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3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E6EC3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400" w:hanging="3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40" w:hanging="3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80" w:hanging="3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0" w:hanging="3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3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0" w:hanging="3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362"/>
      </w:pPr>
      <w:rPr>
        <w:rFonts w:hint="default"/>
        <w:lang w:val="en-US" w:eastAsia="en-US" w:bidi="ar-SA"/>
      </w:rPr>
    </w:lvl>
  </w:abstractNum>
  <w:num w:numId="1" w16cid:durableId="1951662951">
    <w:abstractNumId w:val="0"/>
  </w:num>
  <w:num w:numId="2" w16cid:durableId="129212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338F"/>
    <w:rsid w:val="000950E8"/>
    <w:rsid w:val="00447274"/>
    <w:rsid w:val="005F021D"/>
    <w:rsid w:val="007822DB"/>
    <w:rsid w:val="00917409"/>
    <w:rsid w:val="00B82361"/>
    <w:rsid w:val="00C3338F"/>
    <w:rsid w:val="00F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96E5"/>
  <w15:docId w15:val="{E4A19032-CA0F-476D-97B9-6F3FB1F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1"/>
      <w:ind w:left="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49"/>
      <w:ind w:left="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69"/>
      <w:ind w:left="359" w:hanging="35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1"/>
      <w:ind w:left="1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41"/>
      <w:ind w:left="3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121"/>
    </w:pPr>
  </w:style>
  <w:style w:type="character" w:styleId="Hyperlink">
    <w:name w:val="Hyperlink"/>
    <w:basedOn w:val="DefaultParagraphFont"/>
    <w:uiPriority w:val="99"/>
    <w:unhideWhenUsed/>
    <w:rsid w:val="00B823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qanov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yanin@ed.ac.uk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2492</Words>
  <Characters>15905</Characters>
  <Application>Microsoft Office Word</Application>
  <DocSecurity>0</DocSecurity>
  <Lines>454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AIG-VHT medRxiv preprint (revised)</vt:lpstr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AIG-VHT medRxiv preprint (revised)</dc:title>
  <dc:creator>IQANOVA AI-QSP Pipeline v2.21</dc:creator>
  <cp:lastModifiedBy>Igor Goryanin</cp:lastModifiedBy>
  <cp:revision>6</cp:revision>
  <dcterms:created xsi:type="dcterms:W3CDTF">2026-07-06T15:32:00Z</dcterms:created>
  <dcterms:modified xsi:type="dcterms:W3CDTF">2026-07-06T18:33:00Z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2026-07-06T00:00:00Z</vt:filetime>
  </property>
</Properties>
</file>